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448F820C" w:rsidR="00F64786" w:rsidRDefault="00F64786" w:rsidP="0077673A">
            <w:bookmarkStart w:id="0" w:name="_GoBack"/>
            <w:bookmarkEnd w:id="0"/>
          </w:p>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391301EE" w:rsidR="00F862D6" w:rsidRPr="003E6B9A" w:rsidRDefault="00B84609" w:rsidP="0037111D">
            <w:r w:rsidRPr="00B84609">
              <w:rPr>
                <w:rFonts w:ascii="Helvetica" w:hAnsi="Helvetica"/>
              </w:rPr>
              <w:t>239/2025-SŽ-SSV-Ú3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9D11A8" w:rsidRDefault="00F862D6" w:rsidP="0077673A">
            <w:r w:rsidRPr="009D11A8">
              <w:t>Listů/příloh</w:t>
            </w:r>
          </w:p>
        </w:tc>
        <w:tc>
          <w:tcPr>
            <w:tcW w:w="2552" w:type="dxa"/>
          </w:tcPr>
          <w:p w14:paraId="333CD487" w14:textId="7E2DF7FC" w:rsidR="00F862D6" w:rsidRPr="009D11A8" w:rsidRDefault="009D11A8" w:rsidP="00CC1E2B">
            <w:r w:rsidRPr="009D11A8">
              <w:t>4</w:t>
            </w:r>
            <w:r w:rsidR="003E6B9A" w:rsidRPr="009D11A8">
              <w:t>/</w:t>
            </w:r>
            <w:r w:rsidRPr="009D11A8">
              <w:t>2</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71154CC6" w:rsidR="00F862D6" w:rsidRPr="003E6B9A" w:rsidRDefault="002F450F" w:rsidP="00FE3455">
            <w:r>
              <w:t>Renáta Majerová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3AC9C35E" w:rsidR="009A7568" w:rsidRPr="003E6B9A" w:rsidRDefault="002F450F" w:rsidP="009A7568">
            <w:r>
              <w:t>+420 724 932 325</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1BCC202D" w:rsidR="009A7568" w:rsidRPr="003E6B9A" w:rsidRDefault="002F450F" w:rsidP="006104F6">
            <w:r>
              <w:t>Majerova@spravazeleznic.cz</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1" w:name="Datum"/>
        <w:tc>
          <w:tcPr>
            <w:tcW w:w="2552" w:type="dxa"/>
          </w:tcPr>
          <w:p w14:paraId="60AF53E1" w14:textId="2F2D6E0A" w:rsidR="009A7568" w:rsidRPr="003E6B9A" w:rsidRDefault="009A7568" w:rsidP="009A7568">
            <w:r w:rsidRPr="003E6B9A">
              <w:fldChar w:fldCharType="begin"/>
            </w:r>
            <w:r w:rsidRPr="003E6B9A">
              <w:instrText xml:space="preserve"> DATE  \@ "d. MMMM yyyy"  \* MERGEFORMAT </w:instrText>
            </w:r>
            <w:r w:rsidRPr="003E6B9A">
              <w:fldChar w:fldCharType="separate"/>
            </w:r>
            <w:r w:rsidR="004A1F2B">
              <w:rPr>
                <w:noProof/>
              </w:rPr>
              <w:t>10. ledna 2025</w:t>
            </w:r>
            <w:r w:rsidRPr="003E6B9A">
              <w:fldChar w:fldCharType="end"/>
            </w:r>
            <w:r w:rsidRPr="003E6B9A">
              <w:t xml:space="preserve"> </w:t>
            </w:r>
            <w:bookmarkEnd w:id="1"/>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6BD0BDFC"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w:t>
      </w:r>
      <w:r w:rsidRPr="00E46DE0">
        <w:rPr>
          <w:rFonts w:eastAsia="Calibri" w:cs="Times New Roman"/>
          <w:lang w:eastAsia="cs-CZ"/>
        </w:rPr>
        <w:t xml:space="preserve">dokumentace č. </w:t>
      </w:r>
      <w:r w:rsidR="00E46DE0" w:rsidRPr="00E46DE0">
        <w:rPr>
          <w:rFonts w:eastAsia="Times New Roman" w:cs="Times New Roman"/>
          <w:lang w:eastAsia="cs-CZ"/>
        </w:rPr>
        <w:t>3</w:t>
      </w:r>
    </w:p>
    <w:p w14:paraId="25C6ADAC" w14:textId="4DF24F59"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2F450F" w:rsidRPr="002F450F">
        <w:rPr>
          <w:rFonts w:eastAsia="Calibri" w:cs="Times New Roman"/>
          <w:b/>
          <w:bCs/>
          <w:lang w:eastAsia="cs-CZ"/>
        </w:rPr>
        <w:t>Modernizace ŽST Brno-Židenice a úpravy v ŽST Brno-Maloměřice</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E46DE0" w:rsidRDefault="00BD5319" w:rsidP="00BD5319">
      <w:pPr>
        <w:spacing w:after="0" w:line="240" w:lineRule="auto"/>
        <w:rPr>
          <w:rFonts w:asciiTheme="majorHAnsi" w:eastAsia="Calibri" w:hAnsiTheme="majorHAnsi" w:cs="Times New Roman"/>
          <w:lang w:eastAsia="cs-CZ"/>
        </w:rPr>
      </w:pPr>
      <w:r w:rsidRPr="00E46DE0">
        <w:rPr>
          <w:rFonts w:asciiTheme="majorHAnsi" w:eastAsia="Calibri" w:hAnsiTheme="majorHAnsi" w:cs="Times New Roman"/>
        </w:rPr>
        <w:t xml:space="preserve">ve smyslu </w:t>
      </w:r>
      <w:r w:rsidRPr="00E46DE0">
        <w:rPr>
          <w:rFonts w:asciiTheme="majorHAnsi" w:eastAsia="Times New Roman" w:hAnsiTheme="majorHAnsi" w:cs="Times New Roman"/>
          <w:lang w:eastAsia="cs-CZ"/>
        </w:rPr>
        <w:t>§ 98 a § 99 zákona č. 134/2016 Sb., o zadávání veřejných zakázek, ve znění pozdějších předpisů (dále jen „ZZVZ“)</w:t>
      </w:r>
    </w:p>
    <w:p w14:paraId="18CFADEB" w14:textId="0948943A" w:rsidR="00BD5319" w:rsidRDefault="00BD5319" w:rsidP="00BD5319">
      <w:pPr>
        <w:spacing w:after="0" w:line="240" w:lineRule="auto"/>
        <w:ind w:left="709"/>
        <w:rPr>
          <w:rFonts w:asciiTheme="majorHAnsi" w:eastAsia="Calibri" w:hAnsiTheme="majorHAnsi" w:cs="Times New Roman"/>
          <w:color w:val="FF0000"/>
          <w:lang w:eastAsia="cs-CZ"/>
        </w:rPr>
      </w:pPr>
    </w:p>
    <w:p w14:paraId="406B2E8A" w14:textId="77777777" w:rsidR="008421A8" w:rsidRPr="00E46DE0" w:rsidRDefault="008421A8" w:rsidP="00BD5319">
      <w:pPr>
        <w:spacing w:after="0" w:line="240" w:lineRule="auto"/>
        <w:ind w:left="709"/>
        <w:rPr>
          <w:rFonts w:asciiTheme="majorHAnsi" w:eastAsia="Calibri" w:hAnsiTheme="majorHAnsi" w:cs="Times New Roman"/>
          <w:color w:val="FF0000"/>
          <w:lang w:eastAsia="cs-CZ"/>
        </w:rPr>
      </w:pPr>
    </w:p>
    <w:p w14:paraId="0EF3C089" w14:textId="38FAD43A" w:rsidR="005C663F" w:rsidRPr="00E46DE0" w:rsidRDefault="005C663F" w:rsidP="005C663F">
      <w:pPr>
        <w:pStyle w:val="Default"/>
        <w:rPr>
          <w:rFonts w:asciiTheme="majorHAnsi" w:hAnsiTheme="majorHAnsi"/>
          <w:sz w:val="18"/>
          <w:szCs w:val="18"/>
        </w:rPr>
      </w:pPr>
      <w:r w:rsidRPr="00E46DE0">
        <w:rPr>
          <w:rFonts w:asciiTheme="majorHAnsi" w:hAnsiTheme="majorHAnsi"/>
          <w:b/>
          <w:bCs/>
          <w:sz w:val="18"/>
          <w:szCs w:val="18"/>
        </w:rPr>
        <w:t xml:space="preserve">Dotaz č. </w:t>
      </w:r>
      <w:r w:rsidR="00E46DE0" w:rsidRPr="00E46DE0">
        <w:rPr>
          <w:rFonts w:asciiTheme="majorHAnsi" w:hAnsiTheme="majorHAnsi"/>
          <w:b/>
          <w:bCs/>
          <w:sz w:val="18"/>
          <w:szCs w:val="18"/>
        </w:rPr>
        <w:t>7</w:t>
      </w:r>
      <w:r w:rsidRPr="00E46DE0">
        <w:rPr>
          <w:rFonts w:asciiTheme="majorHAnsi" w:hAnsiTheme="majorHAnsi"/>
          <w:b/>
          <w:bCs/>
          <w:sz w:val="18"/>
          <w:szCs w:val="18"/>
        </w:rPr>
        <w:t xml:space="preserve">: </w:t>
      </w:r>
    </w:p>
    <w:p w14:paraId="3D7836DF" w14:textId="5AA6D68C" w:rsidR="005C663F" w:rsidRPr="00E46DE0" w:rsidRDefault="00E46DE0" w:rsidP="005C663F">
      <w:pPr>
        <w:spacing w:after="0" w:line="240" w:lineRule="auto"/>
        <w:rPr>
          <w:rFonts w:asciiTheme="majorHAnsi" w:eastAsia="Calibri" w:hAnsiTheme="majorHAnsi" w:cs="Times New Roman"/>
          <w:b/>
          <w:lang w:eastAsia="cs-CZ"/>
        </w:rPr>
      </w:pPr>
      <w:r w:rsidRPr="00E46DE0">
        <w:rPr>
          <w:rFonts w:asciiTheme="majorHAnsi" w:hAnsiTheme="majorHAnsi" w:cs="Tahoma"/>
          <w:color w:val="000000"/>
          <w:shd w:val="clear" w:color="auto" w:fill="FFFFFF"/>
        </w:rPr>
        <w:t xml:space="preserve">V </w:t>
      </w:r>
      <w:r w:rsidRPr="00E46DE0">
        <w:rPr>
          <w:rFonts w:asciiTheme="majorHAnsi" w:hAnsiTheme="majorHAnsi" w:cs="Tahoma"/>
          <w:b/>
          <w:color w:val="000000"/>
          <w:shd w:val="clear" w:color="auto" w:fill="FFFFFF"/>
        </w:rPr>
        <w:t>SO 31-30-05</w:t>
      </w:r>
      <w:r w:rsidRPr="00E46DE0">
        <w:rPr>
          <w:rFonts w:asciiTheme="majorHAnsi" w:hAnsiTheme="majorHAnsi" w:cs="Tahoma"/>
          <w:color w:val="000000"/>
          <w:shd w:val="clear" w:color="auto" w:fill="FFFFFF"/>
        </w:rPr>
        <w:t xml:space="preserve"> Směrová a výšková úprava TT jsou uvedeny položky p. č. 13 Záporové pažení, p. č. 14 Výdřeva pažení a pol. č. 15 Vrty pro kotvení. Nejedná se o omyl? Patří tyto položky do objektu TT?</w:t>
      </w:r>
    </w:p>
    <w:p w14:paraId="7EFCADA9" w14:textId="77777777" w:rsidR="00E46DE0" w:rsidRPr="00E46DE0" w:rsidRDefault="00E46DE0" w:rsidP="00BD5319">
      <w:pPr>
        <w:spacing w:after="0" w:line="240" w:lineRule="auto"/>
        <w:rPr>
          <w:rFonts w:asciiTheme="majorHAnsi" w:eastAsia="Calibri" w:hAnsiTheme="majorHAnsi" w:cs="Times New Roman"/>
          <w:b/>
          <w:lang w:eastAsia="cs-CZ"/>
        </w:rPr>
      </w:pPr>
    </w:p>
    <w:p w14:paraId="29DEB136" w14:textId="39F958CD" w:rsidR="00C53085" w:rsidRPr="00291C80" w:rsidRDefault="00291C80" w:rsidP="00C53085">
      <w:pPr>
        <w:spacing w:after="0" w:line="240" w:lineRule="auto"/>
        <w:rPr>
          <w:rFonts w:asciiTheme="majorHAnsi" w:eastAsia="Calibri" w:hAnsiTheme="majorHAnsi" w:cs="Times New Roman"/>
          <w:b/>
          <w:color w:val="FF0000"/>
          <w:lang w:eastAsia="cs-CZ"/>
        </w:rPr>
      </w:pPr>
      <w:r>
        <w:rPr>
          <w:rFonts w:asciiTheme="majorHAnsi" w:eastAsia="Calibri" w:hAnsiTheme="majorHAnsi" w:cs="Times New Roman"/>
          <w:b/>
          <w:lang w:eastAsia="cs-CZ"/>
        </w:rPr>
        <w:t>Odpověď:</w:t>
      </w:r>
    </w:p>
    <w:p w14:paraId="0F3CDE66" w14:textId="72627BAE" w:rsidR="00E46DE0" w:rsidRPr="00BE37CA" w:rsidRDefault="007664A8" w:rsidP="00BD5319">
      <w:pPr>
        <w:spacing w:after="0" w:line="240" w:lineRule="auto"/>
        <w:rPr>
          <w:rFonts w:asciiTheme="majorHAnsi" w:eastAsia="Calibri" w:hAnsiTheme="majorHAnsi" w:cs="Times New Roman"/>
          <w:lang w:eastAsia="cs-CZ"/>
        </w:rPr>
      </w:pPr>
      <w:r w:rsidRPr="00BE37CA">
        <w:rPr>
          <w:rFonts w:asciiTheme="majorHAnsi" w:eastAsia="Calibri" w:hAnsiTheme="majorHAnsi" w:cs="Times New Roman"/>
          <w:lang w:eastAsia="cs-CZ"/>
        </w:rPr>
        <w:t xml:space="preserve">Uvedené položky jsou součástí předmětného SO záměrně. S ohledem na zahlubování tramvajové tratě bude vytvořen poměrně hluboký výkop a nutné pojíždění v blízkosti hrany výkopu je součástí SO i pažení. </w:t>
      </w:r>
    </w:p>
    <w:p w14:paraId="1B28DA3A" w14:textId="2FA58B4B" w:rsidR="008421A8" w:rsidRDefault="008421A8" w:rsidP="00BD5319">
      <w:pPr>
        <w:spacing w:after="0" w:line="240" w:lineRule="auto"/>
        <w:rPr>
          <w:rFonts w:asciiTheme="majorHAnsi" w:eastAsia="Calibri" w:hAnsiTheme="majorHAnsi" w:cs="Times New Roman"/>
          <w:b/>
          <w:lang w:eastAsia="cs-CZ"/>
        </w:rPr>
      </w:pPr>
    </w:p>
    <w:p w14:paraId="7CDD97E1" w14:textId="77777777" w:rsidR="00BE37CA" w:rsidRPr="00E46DE0" w:rsidRDefault="00BE37CA" w:rsidP="00BD5319">
      <w:pPr>
        <w:spacing w:after="0" w:line="240" w:lineRule="auto"/>
        <w:rPr>
          <w:rFonts w:asciiTheme="majorHAnsi" w:eastAsia="Calibri" w:hAnsiTheme="majorHAnsi" w:cs="Times New Roman"/>
          <w:b/>
          <w:lang w:eastAsia="cs-CZ"/>
        </w:rPr>
      </w:pPr>
    </w:p>
    <w:p w14:paraId="7D68FBD7" w14:textId="3C328F79" w:rsidR="00BD5319" w:rsidRPr="00E46DE0" w:rsidRDefault="00BD5319" w:rsidP="00BD5319">
      <w:pPr>
        <w:spacing w:after="0" w:line="240" w:lineRule="auto"/>
        <w:rPr>
          <w:rFonts w:asciiTheme="majorHAnsi" w:eastAsia="Calibri" w:hAnsiTheme="majorHAnsi" w:cs="Times New Roman"/>
          <w:b/>
          <w:lang w:eastAsia="cs-CZ"/>
        </w:rPr>
      </w:pPr>
      <w:r w:rsidRPr="00E46DE0">
        <w:rPr>
          <w:rFonts w:asciiTheme="majorHAnsi" w:eastAsia="Calibri" w:hAnsiTheme="majorHAnsi" w:cs="Times New Roman"/>
          <w:b/>
          <w:lang w:eastAsia="cs-CZ"/>
        </w:rPr>
        <w:t xml:space="preserve">Dotaz č. </w:t>
      </w:r>
      <w:r w:rsidR="00E46DE0" w:rsidRPr="00E46DE0">
        <w:rPr>
          <w:rFonts w:asciiTheme="majorHAnsi" w:eastAsia="Calibri" w:hAnsiTheme="majorHAnsi" w:cs="Times New Roman"/>
          <w:b/>
          <w:lang w:eastAsia="cs-CZ"/>
        </w:rPr>
        <w:t>8</w:t>
      </w:r>
      <w:r w:rsidRPr="00E46DE0">
        <w:rPr>
          <w:rFonts w:asciiTheme="majorHAnsi" w:eastAsia="Calibri" w:hAnsiTheme="majorHAnsi" w:cs="Times New Roman"/>
          <w:b/>
          <w:lang w:eastAsia="cs-CZ"/>
        </w:rPr>
        <w:t>:</w:t>
      </w:r>
    </w:p>
    <w:p w14:paraId="3F925D6B" w14:textId="5962B2C0" w:rsidR="00BD5319" w:rsidRPr="00E46DE0" w:rsidRDefault="00E46DE0" w:rsidP="00BD5319">
      <w:pPr>
        <w:spacing w:after="0" w:line="240" w:lineRule="auto"/>
        <w:rPr>
          <w:rFonts w:asciiTheme="majorHAnsi" w:hAnsiTheme="majorHAnsi" w:cs="Tahoma"/>
          <w:color w:val="000000"/>
          <w:shd w:val="clear" w:color="auto" w:fill="FFFFFF"/>
        </w:rPr>
      </w:pPr>
      <w:r w:rsidRPr="00E46DE0">
        <w:rPr>
          <w:rFonts w:asciiTheme="majorHAnsi" w:hAnsiTheme="majorHAnsi" w:cs="Tahoma"/>
          <w:color w:val="000000"/>
          <w:shd w:val="clear" w:color="auto" w:fill="FFFFFF"/>
        </w:rPr>
        <w:t xml:space="preserve">V </w:t>
      </w:r>
      <w:r w:rsidRPr="00E46DE0">
        <w:rPr>
          <w:rFonts w:asciiTheme="majorHAnsi" w:hAnsiTheme="majorHAnsi" w:cs="Tahoma"/>
          <w:b/>
          <w:color w:val="000000"/>
          <w:shd w:val="clear" w:color="auto" w:fill="FFFFFF"/>
        </w:rPr>
        <w:t>SO 31-30-05</w:t>
      </w:r>
      <w:r w:rsidRPr="00E46DE0">
        <w:rPr>
          <w:rFonts w:asciiTheme="majorHAnsi" w:hAnsiTheme="majorHAnsi" w:cs="Tahoma"/>
          <w:color w:val="000000"/>
          <w:shd w:val="clear" w:color="auto" w:fill="FFFFFF"/>
        </w:rPr>
        <w:t xml:space="preserve"> Směrová a výšková úprava TT je uvedena položka p. č. 29 Montáž výhybek v délce 350 m. Text „Vyjmutí a opětovné vložení </w:t>
      </w:r>
      <w:proofErr w:type="spellStart"/>
      <w:r w:rsidRPr="00E46DE0">
        <w:rPr>
          <w:rFonts w:asciiTheme="majorHAnsi" w:hAnsiTheme="majorHAnsi" w:cs="Tahoma"/>
          <w:color w:val="000000"/>
          <w:shd w:val="clear" w:color="auto" w:fill="FFFFFF"/>
        </w:rPr>
        <w:t>proviz</w:t>
      </w:r>
      <w:proofErr w:type="spellEnd"/>
      <w:r w:rsidRPr="00E46DE0">
        <w:rPr>
          <w:rFonts w:asciiTheme="majorHAnsi" w:hAnsiTheme="majorHAnsi" w:cs="Tahoma"/>
          <w:color w:val="000000"/>
          <w:shd w:val="clear" w:color="auto" w:fill="FFFFFF"/>
        </w:rPr>
        <w:t>. výhybek v rámci tohoto SO 6 ks“ Není správně pouze 4 ks výhybek (2 ks pro 1. koleje a poté přehození 2 ks pro 2. kolej)?</w:t>
      </w:r>
    </w:p>
    <w:p w14:paraId="3A706610" w14:textId="77777777" w:rsidR="00E46DE0" w:rsidRPr="00E46DE0" w:rsidRDefault="00E46DE0" w:rsidP="00BD5319">
      <w:pPr>
        <w:spacing w:after="0" w:line="240" w:lineRule="auto"/>
        <w:rPr>
          <w:rFonts w:asciiTheme="majorHAnsi" w:eastAsia="Calibri" w:hAnsiTheme="majorHAnsi" w:cs="Times New Roman"/>
          <w:b/>
          <w:lang w:eastAsia="cs-CZ"/>
        </w:rPr>
      </w:pPr>
    </w:p>
    <w:p w14:paraId="6D16A484" w14:textId="77777777" w:rsidR="00BD5319" w:rsidRPr="00E46DE0" w:rsidRDefault="00BD5319" w:rsidP="00BD5319">
      <w:pPr>
        <w:spacing w:after="0" w:line="240" w:lineRule="auto"/>
        <w:rPr>
          <w:rFonts w:asciiTheme="majorHAnsi" w:eastAsia="Calibri" w:hAnsiTheme="majorHAnsi" w:cs="Times New Roman"/>
          <w:b/>
          <w:lang w:eastAsia="cs-CZ"/>
        </w:rPr>
      </w:pPr>
      <w:r w:rsidRPr="00E46DE0">
        <w:rPr>
          <w:rFonts w:asciiTheme="majorHAnsi" w:eastAsia="Calibri" w:hAnsiTheme="majorHAnsi" w:cs="Times New Roman"/>
          <w:b/>
          <w:lang w:eastAsia="cs-CZ"/>
        </w:rPr>
        <w:t xml:space="preserve">Odpověď: </w:t>
      </w:r>
    </w:p>
    <w:p w14:paraId="6500206F" w14:textId="628DEC28" w:rsidR="00C53085" w:rsidRPr="00BE37CA" w:rsidRDefault="007664A8" w:rsidP="00C53085">
      <w:pPr>
        <w:spacing w:after="0" w:line="240" w:lineRule="auto"/>
        <w:rPr>
          <w:rFonts w:asciiTheme="majorHAnsi" w:eastAsia="Calibri" w:hAnsiTheme="majorHAnsi" w:cs="Times New Roman"/>
          <w:lang w:eastAsia="cs-CZ"/>
        </w:rPr>
      </w:pPr>
      <w:r w:rsidRPr="00BE37CA">
        <w:rPr>
          <w:rFonts w:asciiTheme="majorHAnsi" w:eastAsia="Calibri" w:hAnsiTheme="majorHAnsi" w:cs="Times New Roman"/>
          <w:lang w:eastAsia="cs-CZ"/>
        </w:rPr>
        <w:t xml:space="preserve">6 ks výhybek je v souladu s projektovou dokumentací uvedeno správně. </w:t>
      </w:r>
      <w:r w:rsidR="00C53085" w:rsidRPr="00BE37CA">
        <w:rPr>
          <w:rFonts w:asciiTheme="majorHAnsi" w:eastAsia="Calibri" w:hAnsiTheme="majorHAnsi" w:cs="Times New Roman"/>
          <w:lang w:eastAsia="cs-CZ"/>
        </w:rPr>
        <w:t>Vložení a opětovné vyjmutí se provádí ve stavebních postupech 1, 3 a 9.</w:t>
      </w:r>
    </w:p>
    <w:p w14:paraId="24A34A3C" w14:textId="6AE54A2F" w:rsidR="00E46DE0" w:rsidRDefault="00E46DE0" w:rsidP="00BD5319">
      <w:pPr>
        <w:spacing w:after="0" w:line="240" w:lineRule="auto"/>
        <w:rPr>
          <w:rFonts w:asciiTheme="majorHAnsi" w:eastAsia="Calibri" w:hAnsiTheme="majorHAnsi" w:cs="Times New Roman"/>
          <w:b/>
          <w:lang w:eastAsia="cs-CZ"/>
        </w:rPr>
      </w:pPr>
    </w:p>
    <w:p w14:paraId="795BD60C" w14:textId="77777777" w:rsidR="008421A8" w:rsidRPr="00E46DE0" w:rsidRDefault="008421A8" w:rsidP="00BD5319">
      <w:pPr>
        <w:spacing w:after="0" w:line="240" w:lineRule="auto"/>
        <w:rPr>
          <w:rFonts w:asciiTheme="majorHAnsi" w:eastAsia="Calibri" w:hAnsiTheme="majorHAnsi" w:cs="Times New Roman"/>
          <w:b/>
          <w:lang w:eastAsia="cs-CZ"/>
        </w:rPr>
      </w:pPr>
    </w:p>
    <w:p w14:paraId="09C9076C" w14:textId="54CBF29C" w:rsidR="00BD5319" w:rsidRPr="00E46DE0" w:rsidRDefault="00BD5319" w:rsidP="00BD5319">
      <w:pPr>
        <w:spacing w:after="0" w:line="240" w:lineRule="auto"/>
        <w:rPr>
          <w:rFonts w:asciiTheme="majorHAnsi" w:eastAsia="Calibri" w:hAnsiTheme="majorHAnsi" w:cs="Times New Roman"/>
          <w:b/>
          <w:lang w:eastAsia="cs-CZ"/>
        </w:rPr>
      </w:pPr>
      <w:bookmarkStart w:id="2" w:name="_Hlk187150548"/>
      <w:r w:rsidRPr="00E46DE0">
        <w:rPr>
          <w:rFonts w:asciiTheme="majorHAnsi" w:eastAsia="Calibri" w:hAnsiTheme="majorHAnsi" w:cs="Times New Roman"/>
          <w:b/>
          <w:lang w:eastAsia="cs-CZ"/>
        </w:rPr>
        <w:t xml:space="preserve">Dotaz č. </w:t>
      </w:r>
      <w:r w:rsidR="00E46DE0" w:rsidRPr="00E46DE0">
        <w:rPr>
          <w:rFonts w:asciiTheme="majorHAnsi" w:eastAsia="Calibri" w:hAnsiTheme="majorHAnsi" w:cs="Times New Roman"/>
          <w:b/>
          <w:lang w:eastAsia="cs-CZ"/>
        </w:rPr>
        <w:t>9</w:t>
      </w:r>
      <w:r w:rsidRPr="00E46DE0">
        <w:rPr>
          <w:rFonts w:asciiTheme="majorHAnsi" w:eastAsia="Calibri" w:hAnsiTheme="majorHAnsi" w:cs="Times New Roman"/>
          <w:b/>
          <w:lang w:eastAsia="cs-CZ"/>
        </w:rPr>
        <w:t>:</w:t>
      </w:r>
    </w:p>
    <w:bookmarkEnd w:id="2"/>
    <w:p w14:paraId="002E726F" w14:textId="52B24B96" w:rsidR="00BD5319" w:rsidRPr="00E46DE0" w:rsidRDefault="00E46DE0" w:rsidP="00BD5319">
      <w:pPr>
        <w:spacing w:after="0" w:line="240" w:lineRule="auto"/>
        <w:rPr>
          <w:rFonts w:asciiTheme="majorHAnsi" w:eastAsia="Calibri" w:hAnsiTheme="majorHAnsi" w:cs="Times New Roman"/>
          <w:lang w:eastAsia="cs-CZ"/>
        </w:rPr>
      </w:pPr>
      <w:r w:rsidRPr="00E46DE0">
        <w:rPr>
          <w:rFonts w:asciiTheme="majorHAnsi" w:eastAsia="Calibri" w:hAnsiTheme="majorHAnsi" w:cs="Times New Roman"/>
          <w:lang w:eastAsia="cs-CZ"/>
        </w:rPr>
        <w:t xml:space="preserve">V </w:t>
      </w:r>
      <w:r w:rsidRPr="00E46DE0">
        <w:rPr>
          <w:rFonts w:asciiTheme="majorHAnsi" w:eastAsia="Calibri" w:hAnsiTheme="majorHAnsi" w:cs="Times New Roman"/>
          <w:b/>
          <w:lang w:eastAsia="cs-CZ"/>
        </w:rPr>
        <w:t>SO 31-30-05</w:t>
      </w:r>
      <w:r w:rsidRPr="00E46DE0">
        <w:rPr>
          <w:rFonts w:asciiTheme="majorHAnsi" w:eastAsia="Calibri" w:hAnsiTheme="majorHAnsi" w:cs="Times New Roman"/>
          <w:lang w:eastAsia="cs-CZ"/>
        </w:rPr>
        <w:t xml:space="preserve"> Směrová a výšková úprava TT jsou uvedeny položky p. č. 57 – p. č. 63 Skutečně se nemají tyto položky (poplatky za skládky) </w:t>
      </w:r>
      <w:proofErr w:type="gramStart"/>
      <w:r w:rsidRPr="00E46DE0">
        <w:rPr>
          <w:rFonts w:asciiTheme="majorHAnsi" w:eastAsia="Calibri" w:hAnsiTheme="majorHAnsi" w:cs="Times New Roman"/>
          <w:lang w:eastAsia="cs-CZ"/>
        </w:rPr>
        <w:t>oceňovat</w:t>
      </w:r>
      <w:proofErr w:type="gramEnd"/>
      <w:r w:rsidRPr="00E46DE0">
        <w:rPr>
          <w:rFonts w:asciiTheme="majorHAnsi" w:eastAsia="Calibri" w:hAnsiTheme="majorHAnsi" w:cs="Times New Roman"/>
          <w:lang w:eastAsia="cs-CZ"/>
        </w:rPr>
        <w:t xml:space="preserve"> jak je uvedeno v textu?</w:t>
      </w:r>
    </w:p>
    <w:p w14:paraId="1D0AABE9" w14:textId="77777777" w:rsidR="00E46DE0" w:rsidRPr="00E46DE0" w:rsidRDefault="00E46DE0" w:rsidP="00BD5319">
      <w:pPr>
        <w:spacing w:after="0" w:line="240" w:lineRule="auto"/>
        <w:rPr>
          <w:rFonts w:asciiTheme="majorHAnsi" w:eastAsia="Calibri" w:hAnsiTheme="majorHAnsi" w:cs="Times New Roman"/>
          <w:b/>
          <w:lang w:eastAsia="cs-CZ"/>
        </w:rPr>
      </w:pPr>
    </w:p>
    <w:p w14:paraId="10E8C8A5" w14:textId="77777777" w:rsidR="00BD5319" w:rsidRPr="00E46DE0" w:rsidRDefault="00BD5319" w:rsidP="00BD5319">
      <w:pPr>
        <w:spacing w:after="0" w:line="240" w:lineRule="auto"/>
        <w:rPr>
          <w:rFonts w:asciiTheme="majorHAnsi" w:eastAsia="Calibri" w:hAnsiTheme="majorHAnsi" w:cs="Times New Roman"/>
          <w:b/>
          <w:color w:val="FF0000"/>
          <w:lang w:eastAsia="cs-CZ"/>
        </w:rPr>
      </w:pPr>
      <w:bookmarkStart w:id="3" w:name="_Hlk187150558"/>
      <w:r w:rsidRPr="00E46DE0">
        <w:rPr>
          <w:rFonts w:asciiTheme="majorHAnsi" w:eastAsia="Calibri" w:hAnsiTheme="majorHAnsi" w:cs="Times New Roman"/>
          <w:b/>
          <w:lang w:eastAsia="cs-CZ"/>
        </w:rPr>
        <w:t xml:space="preserve">Odpověď: </w:t>
      </w:r>
    </w:p>
    <w:bookmarkEnd w:id="3"/>
    <w:p w14:paraId="1B153B7B" w14:textId="2D733852" w:rsidR="00C53085" w:rsidRDefault="00C53085" w:rsidP="00C53085">
      <w:pPr>
        <w:spacing w:after="0"/>
        <w:rPr>
          <w:rFonts w:asciiTheme="majorHAnsi" w:eastAsia="Times New Roman" w:hAnsiTheme="majorHAnsi" w:cs="Times New Roman"/>
          <w:b/>
          <w:color w:val="FF0000"/>
          <w:lang w:eastAsia="cs-CZ"/>
        </w:rPr>
      </w:pPr>
      <w:r w:rsidRPr="00BE37CA">
        <w:rPr>
          <w:rFonts w:asciiTheme="majorHAnsi" w:eastAsia="Times New Roman" w:hAnsiTheme="majorHAnsi" w:cs="Times New Roman"/>
          <w:lang w:eastAsia="cs-CZ"/>
        </w:rPr>
        <w:t>Ano, tyto "odpadové" položky se v jednotlivých objektech</w:t>
      </w:r>
      <w:r w:rsidR="007664A8" w:rsidRPr="00BE37CA">
        <w:rPr>
          <w:rFonts w:asciiTheme="majorHAnsi" w:eastAsia="Times New Roman" w:hAnsiTheme="majorHAnsi" w:cs="Times New Roman"/>
          <w:lang w:eastAsia="cs-CZ"/>
        </w:rPr>
        <w:t xml:space="preserve"> </w:t>
      </w:r>
      <w:proofErr w:type="spellStart"/>
      <w:r w:rsidR="007664A8" w:rsidRPr="00BE37CA">
        <w:rPr>
          <w:rFonts w:asciiTheme="majorHAnsi" w:eastAsia="Times New Roman" w:hAnsiTheme="majorHAnsi" w:cs="Times New Roman"/>
          <w:lang w:eastAsia="cs-CZ"/>
        </w:rPr>
        <w:t>nenaceňují</w:t>
      </w:r>
      <w:proofErr w:type="spellEnd"/>
      <w:r w:rsidRPr="00BE37CA">
        <w:rPr>
          <w:rFonts w:asciiTheme="majorHAnsi" w:eastAsia="Times New Roman" w:hAnsiTheme="majorHAnsi" w:cs="Times New Roman"/>
          <w:lang w:eastAsia="cs-CZ"/>
        </w:rPr>
        <w:t xml:space="preserve">. Oceňují se </w:t>
      </w:r>
      <w:r w:rsidR="007664A8" w:rsidRPr="00BE37CA">
        <w:rPr>
          <w:rFonts w:asciiTheme="majorHAnsi" w:eastAsia="Times New Roman" w:hAnsiTheme="majorHAnsi" w:cs="Times New Roman"/>
          <w:lang w:eastAsia="cs-CZ"/>
        </w:rPr>
        <w:t xml:space="preserve">jako součást </w:t>
      </w:r>
      <w:r w:rsidRPr="00BE37CA">
        <w:rPr>
          <w:rFonts w:asciiTheme="majorHAnsi" w:eastAsia="Times New Roman" w:hAnsiTheme="majorHAnsi" w:cs="Times New Roman"/>
          <w:lang w:eastAsia="cs-CZ"/>
        </w:rPr>
        <w:t>objektu SO 90-90 Likvidace odpadů, kde jsou souhrnně vyčísleny za všechny SO/PS a rozděleny dle jednotlivých druhů odpadů</w:t>
      </w:r>
      <w:r w:rsidRPr="004B33B9">
        <w:rPr>
          <w:rFonts w:asciiTheme="majorHAnsi" w:eastAsia="Times New Roman" w:hAnsiTheme="majorHAnsi" w:cs="Times New Roman"/>
          <w:b/>
          <w:color w:val="FF0000"/>
          <w:lang w:eastAsia="cs-CZ"/>
        </w:rPr>
        <w:t>.</w:t>
      </w:r>
    </w:p>
    <w:p w14:paraId="0B57C311" w14:textId="532F76A1" w:rsidR="00EE43BF" w:rsidRDefault="00EE43BF" w:rsidP="008421A8">
      <w:pPr>
        <w:spacing w:after="0"/>
        <w:rPr>
          <w:rFonts w:asciiTheme="majorHAnsi" w:eastAsia="Times New Roman" w:hAnsiTheme="majorHAnsi" w:cs="Times New Roman"/>
          <w:b/>
          <w:color w:val="FF0000"/>
          <w:lang w:eastAsia="cs-CZ"/>
        </w:rPr>
      </w:pPr>
    </w:p>
    <w:p w14:paraId="5EE6EA75" w14:textId="77777777" w:rsidR="008421A8" w:rsidRPr="008421A8" w:rsidRDefault="008421A8" w:rsidP="008421A8">
      <w:pPr>
        <w:spacing w:after="0"/>
        <w:rPr>
          <w:rFonts w:asciiTheme="majorHAnsi" w:eastAsia="Times New Roman" w:hAnsiTheme="majorHAnsi" w:cs="Times New Roman"/>
          <w:b/>
          <w:color w:val="FF0000"/>
          <w:lang w:eastAsia="cs-CZ"/>
        </w:rPr>
      </w:pPr>
    </w:p>
    <w:p w14:paraId="565A43BA" w14:textId="408B3B80" w:rsidR="00EE43BF" w:rsidRPr="008421A8" w:rsidRDefault="00EE43BF" w:rsidP="008421A8">
      <w:pPr>
        <w:spacing w:after="0"/>
        <w:rPr>
          <w:rFonts w:asciiTheme="majorHAnsi" w:eastAsia="Calibri" w:hAnsiTheme="majorHAnsi" w:cs="Times New Roman"/>
          <w:b/>
          <w:lang w:eastAsia="cs-CZ"/>
        </w:rPr>
      </w:pPr>
      <w:bookmarkStart w:id="4" w:name="_Hlk187150578"/>
      <w:r w:rsidRPr="008421A8">
        <w:rPr>
          <w:rFonts w:asciiTheme="majorHAnsi" w:eastAsia="Calibri" w:hAnsiTheme="majorHAnsi" w:cs="Times New Roman"/>
          <w:b/>
          <w:lang w:eastAsia="cs-CZ"/>
        </w:rPr>
        <w:t>Dotaz č. 10:</w:t>
      </w:r>
    </w:p>
    <w:p w14:paraId="4B060750" w14:textId="77777777" w:rsidR="00EF0273" w:rsidRPr="008421A8" w:rsidRDefault="00EF0273" w:rsidP="008421A8">
      <w:pPr>
        <w:spacing w:after="0"/>
        <w:rPr>
          <w:rFonts w:asciiTheme="majorHAnsi" w:hAnsiTheme="majorHAnsi" w:cs="Arial"/>
          <w:b/>
          <w:bCs/>
          <w:color w:val="000000"/>
        </w:rPr>
      </w:pPr>
      <w:r w:rsidRPr="008421A8">
        <w:rPr>
          <w:rFonts w:asciiTheme="majorHAnsi" w:hAnsiTheme="majorHAnsi" w:cs="Arial"/>
        </w:rPr>
        <w:t xml:space="preserve">V soupisu prací </w:t>
      </w:r>
      <w:r w:rsidRPr="000536E2">
        <w:rPr>
          <w:rFonts w:asciiTheme="majorHAnsi" w:hAnsiTheme="majorHAnsi" w:cs="Arial"/>
          <w:b/>
          <w:color w:val="000000"/>
        </w:rPr>
        <w:t>SO 31-11-01</w:t>
      </w:r>
      <w:r w:rsidRPr="008421A8">
        <w:rPr>
          <w:rFonts w:asciiTheme="majorHAnsi" w:hAnsiTheme="majorHAnsi" w:cs="Arial"/>
          <w:color w:val="000000"/>
        </w:rPr>
        <w:t xml:space="preserve"> ŽST Brno-Židenice, železniční spodek se nachází položka</w:t>
      </w:r>
      <w:r w:rsidRPr="008421A8">
        <w:rPr>
          <w:rFonts w:asciiTheme="majorHAnsi" w:hAnsiTheme="majorHAnsi" w:cs="Arial"/>
          <w:b/>
          <w:bCs/>
          <w:color w:val="000000"/>
        </w:rPr>
        <w:t>:</w:t>
      </w:r>
    </w:p>
    <w:tbl>
      <w:tblPr>
        <w:tblW w:w="8640" w:type="dxa"/>
        <w:tblInd w:w="-3" w:type="dxa"/>
        <w:tblCellMar>
          <w:left w:w="0" w:type="dxa"/>
          <w:right w:w="0" w:type="dxa"/>
        </w:tblCellMar>
        <w:tblLook w:val="04A0" w:firstRow="1" w:lastRow="0" w:firstColumn="1" w:lastColumn="0" w:noHBand="0" w:noVBand="1"/>
      </w:tblPr>
      <w:tblGrid>
        <w:gridCol w:w="782"/>
        <w:gridCol w:w="851"/>
        <w:gridCol w:w="567"/>
        <w:gridCol w:w="4207"/>
        <w:gridCol w:w="752"/>
        <w:gridCol w:w="407"/>
        <w:gridCol w:w="1074"/>
      </w:tblGrid>
      <w:tr w:rsidR="00EF0273" w:rsidRPr="008421A8" w14:paraId="613A31A0" w14:textId="77777777" w:rsidTr="008421A8">
        <w:trPr>
          <w:trHeight w:val="300"/>
        </w:trPr>
        <w:tc>
          <w:tcPr>
            <w:tcW w:w="782"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36B48E88" w14:textId="77777777" w:rsidR="00EF0273" w:rsidRPr="008421A8" w:rsidRDefault="00EF0273" w:rsidP="008421A8">
            <w:pPr>
              <w:spacing w:after="0"/>
              <w:jc w:val="right"/>
              <w:rPr>
                <w:rFonts w:asciiTheme="majorHAnsi" w:hAnsiTheme="majorHAnsi" w:cs="Arial"/>
              </w:rPr>
            </w:pPr>
            <w:r w:rsidRPr="008421A8">
              <w:rPr>
                <w:rFonts w:asciiTheme="majorHAnsi" w:hAnsiTheme="majorHAnsi" w:cs="Arial"/>
              </w:rPr>
              <w:t>45</w:t>
            </w:r>
          </w:p>
        </w:tc>
        <w:tc>
          <w:tcPr>
            <w:tcW w:w="851"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47CCC1E3" w14:textId="77777777" w:rsidR="00EF0273" w:rsidRPr="008421A8" w:rsidRDefault="00EF0273" w:rsidP="008421A8">
            <w:pPr>
              <w:spacing w:after="0"/>
              <w:jc w:val="right"/>
              <w:rPr>
                <w:rFonts w:asciiTheme="majorHAnsi" w:hAnsiTheme="majorHAnsi" w:cs="Arial"/>
              </w:rPr>
            </w:pPr>
            <w:r w:rsidRPr="008421A8">
              <w:rPr>
                <w:rFonts w:asciiTheme="majorHAnsi" w:hAnsiTheme="majorHAnsi" w:cs="Arial"/>
              </w:rPr>
              <w:t>921112</w:t>
            </w:r>
          </w:p>
        </w:tc>
        <w:tc>
          <w:tcPr>
            <w:tcW w:w="567"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1536EA13" w14:textId="77777777" w:rsidR="00EF0273" w:rsidRPr="008421A8" w:rsidRDefault="00EF0273" w:rsidP="008421A8">
            <w:pPr>
              <w:spacing w:after="0"/>
              <w:rPr>
                <w:rFonts w:asciiTheme="majorHAnsi" w:hAnsiTheme="majorHAnsi" w:cs="Arial"/>
              </w:rPr>
            </w:pPr>
            <w:r w:rsidRPr="008421A8">
              <w:rPr>
                <w:rFonts w:asciiTheme="majorHAnsi" w:hAnsiTheme="majorHAnsi" w:cs="Arial"/>
              </w:rPr>
              <w:t> </w:t>
            </w:r>
          </w:p>
        </w:tc>
        <w:tc>
          <w:tcPr>
            <w:tcW w:w="4207" w:type="dxa"/>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76BE8EC0" w14:textId="77777777" w:rsidR="00EF0273" w:rsidRPr="008421A8" w:rsidRDefault="00EF0273" w:rsidP="008421A8">
            <w:pPr>
              <w:spacing w:after="0"/>
              <w:rPr>
                <w:rFonts w:asciiTheme="majorHAnsi" w:hAnsiTheme="majorHAnsi" w:cs="Arial"/>
              </w:rPr>
            </w:pPr>
            <w:r w:rsidRPr="008421A8">
              <w:rPr>
                <w:rFonts w:asciiTheme="majorHAnsi" w:hAnsiTheme="majorHAnsi" w:cs="Arial"/>
              </w:rPr>
              <w:t>ŽELEZNIČNÍ PŘEJEZD CELOPRYŽOVÝ NA BETONOVÝCH PRAŽCÍCH</w:t>
            </w:r>
          </w:p>
        </w:tc>
        <w:tc>
          <w:tcPr>
            <w:tcW w:w="752" w:type="dxa"/>
            <w:tcBorders>
              <w:top w:val="single" w:sz="8" w:space="0" w:color="000000"/>
              <w:left w:val="nil"/>
              <w:bottom w:val="single" w:sz="8" w:space="0" w:color="000000"/>
              <w:right w:val="nil"/>
            </w:tcBorders>
          </w:tcPr>
          <w:p w14:paraId="07775044" w14:textId="77777777" w:rsidR="00EF0273" w:rsidRPr="008421A8" w:rsidRDefault="00EF0273" w:rsidP="008421A8">
            <w:pPr>
              <w:spacing w:after="0"/>
              <w:jc w:val="center"/>
              <w:rPr>
                <w:rFonts w:asciiTheme="majorHAnsi" w:hAnsiTheme="majorHAnsi" w:cs="Arial"/>
              </w:rPr>
            </w:pPr>
          </w:p>
        </w:tc>
        <w:tc>
          <w:tcPr>
            <w:tcW w:w="407"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074F0591" w14:textId="77777777" w:rsidR="00EF0273" w:rsidRPr="008421A8" w:rsidRDefault="00EF0273" w:rsidP="008421A8">
            <w:pPr>
              <w:spacing w:after="0"/>
              <w:jc w:val="center"/>
              <w:rPr>
                <w:rFonts w:asciiTheme="majorHAnsi" w:hAnsiTheme="majorHAnsi" w:cs="Arial"/>
              </w:rPr>
            </w:pPr>
            <w:r w:rsidRPr="008421A8">
              <w:rPr>
                <w:rFonts w:asciiTheme="majorHAnsi" w:hAnsiTheme="majorHAnsi" w:cs="Arial"/>
              </w:rPr>
              <w:t>M2</w:t>
            </w:r>
          </w:p>
        </w:tc>
        <w:tc>
          <w:tcPr>
            <w:tcW w:w="1074"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7D953C60" w14:textId="77777777" w:rsidR="00EF0273" w:rsidRPr="008421A8" w:rsidRDefault="00EF0273" w:rsidP="008421A8">
            <w:pPr>
              <w:spacing w:after="0"/>
              <w:jc w:val="center"/>
              <w:rPr>
                <w:rFonts w:asciiTheme="majorHAnsi" w:hAnsiTheme="majorHAnsi" w:cs="Arial"/>
              </w:rPr>
            </w:pPr>
            <w:r w:rsidRPr="008421A8">
              <w:rPr>
                <w:rFonts w:asciiTheme="majorHAnsi" w:hAnsiTheme="majorHAnsi" w:cs="Arial"/>
              </w:rPr>
              <w:t>    8,650</w:t>
            </w:r>
          </w:p>
        </w:tc>
      </w:tr>
    </w:tbl>
    <w:p w14:paraId="4A8E37BB" w14:textId="77777777" w:rsidR="00EF0273" w:rsidRPr="008421A8" w:rsidRDefault="00EF0273" w:rsidP="008421A8">
      <w:pPr>
        <w:spacing w:after="0"/>
        <w:jc w:val="both"/>
        <w:rPr>
          <w:rFonts w:asciiTheme="majorHAnsi" w:hAnsiTheme="majorHAnsi" w:cs="Arial"/>
        </w:rPr>
      </w:pPr>
      <w:r w:rsidRPr="008421A8">
        <w:rPr>
          <w:rFonts w:asciiTheme="majorHAnsi" w:hAnsiTheme="majorHAnsi" w:cs="Arial"/>
        </w:rPr>
        <w:t>V dostupní projektové dokumentaci se nenachází podklad pro ocenění této položky.</w:t>
      </w:r>
    </w:p>
    <w:p w14:paraId="79C5DDE2" w14:textId="77777777" w:rsidR="008421A8" w:rsidRPr="008421A8" w:rsidRDefault="00EF0273" w:rsidP="008421A8">
      <w:pPr>
        <w:spacing w:after="0"/>
        <w:rPr>
          <w:rFonts w:asciiTheme="majorHAnsi" w:hAnsiTheme="majorHAnsi" w:cs="Arial"/>
        </w:rPr>
      </w:pPr>
      <w:r w:rsidRPr="008421A8">
        <w:rPr>
          <w:rFonts w:asciiTheme="majorHAnsi" w:hAnsiTheme="majorHAnsi" w:cs="Arial"/>
        </w:rPr>
        <w:t>Žádáme Zadavatele o doplnění výkresu železničního přejezdu</w:t>
      </w:r>
    </w:p>
    <w:p w14:paraId="0209FEEF" w14:textId="77777777" w:rsidR="008421A8" w:rsidRPr="008421A8" w:rsidRDefault="008421A8" w:rsidP="008421A8">
      <w:pPr>
        <w:spacing w:after="0"/>
        <w:rPr>
          <w:rFonts w:asciiTheme="majorHAnsi" w:eastAsia="Calibri" w:hAnsiTheme="majorHAnsi" w:cs="Times New Roman"/>
          <w:b/>
          <w:lang w:eastAsia="cs-CZ"/>
        </w:rPr>
      </w:pPr>
    </w:p>
    <w:p w14:paraId="760E862D" w14:textId="36DE1CF7" w:rsidR="00EE43BF" w:rsidRPr="008421A8" w:rsidRDefault="00EE43BF" w:rsidP="008421A8">
      <w:pPr>
        <w:spacing w:after="0"/>
        <w:rPr>
          <w:rFonts w:asciiTheme="majorHAnsi" w:eastAsia="Calibri" w:hAnsiTheme="majorHAnsi" w:cs="Times New Roman"/>
          <w:b/>
          <w:color w:val="FF0000"/>
          <w:lang w:eastAsia="cs-CZ"/>
        </w:rPr>
      </w:pPr>
      <w:r w:rsidRPr="008421A8">
        <w:rPr>
          <w:rFonts w:asciiTheme="majorHAnsi" w:eastAsia="Calibri" w:hAnsiTheme="majorHAnsi" w:cs="Times New Roman"/>
          <w:b/>
          <w:lang w:eastAsia="cs-CZ"/>
        </w:rPr>
        <w:lastRenderedPageBreak/>
        <w:t xml:space="preserve">Odpověď: </w:t>
      </w:r>
    </w:p>
    <w:bookmarkEnd w:id="4"/>
    <w:p w14:paraId="0E5A2D83" w14:textId="78AF9D4F" w:rsidR="00C53085" w:rsidRPr="00BE37CA" w:rsidRDefault="00C53085" w:rsidP="00C53085">
      <w:pPr>
        <w:spacing w:after="0"/>
        <w:rPr>
          <w:rFonts w:asciiTheme="majorHAnsi" w:eastAsia="Times New Roman" w:hAnsiTheme="majorHAnsi" w:cs="Times New Roman"/>
          <w:lang w:eastAsia="cs-CZ"/>
        </w:rPr>
      </w:pPr>
      <w:r w:rsidRPr="00BE37CA">
        <w:rPr>
          <w:rFonts w:asciiTheme="majorHAnsi" w:eastAsia="Times New Roman" w:hAnsiTheme="majorHAnsi" w:cs="Times New Roman"/>
          <w:lang w:eastAsia="cs-CZ"/>
        </w:rPr>
        <w:t xml:space="preserve">Poloha </w:t>
      </w:r>
      <w:r w:rsidR="007664A8" w:rsidRPr="00BE37CA">
        <w:rPr>
          <w:rFonts w:asciiTheme="majorHAnsi" w:eastAsia="Times New Roman" w:hAnsiTheme="majorHAnsi" w:cs="Times New Roman"/>
          <w:lang w:eastAsia="cs-CZ"/>
        </w:rPr>
        <w:t xml:space="preserve">přejezdu </w:t>
      </w:r>
      <w:r w:rsidRPr="00BE37CA">
        <w:rPr>
          <w:rFonts w:asciiTheme="majorHAnsi" w:eastAsia="Times New Roman" w:hAnsiTheme="majorHAnsi" w:cs="Times New Roman"/>
          <w:lang w:eastAsia="cs-CZ"/>
        </w:rPr>
        <w:t xml:space="preserve">je patrna ze situačního výkresu a </w:t>
      </w:r>
      <w:r w:rsidR="0017493D" w:rsidRPr="00BE37CA">
        <w:rPr>
          <w:rFonts w:asciiTheme="majorHAnsi" w:eastAsia="Times New Roman" w:hAnsiTheme="majorHAnsi" w:cs="Times New Roman"/>
          <w:lang w:eastAsia="cs-CZ"/>
        </w:rPr>
        <w:t xml:space="preserve">údaje uvedené v technické zprávě jsou pro </w:t>
      </w:r>
      <w:proofErr w:type="spellStart"/>
      <w:r w:rsidR="0017493D" w:rsidRPr="00BE37CA">
        <w:rPr>
          <w:rFonts w:asciiTheme="majorHAnsi" w:eastAsia="Times New Roman" w:hAnsiTheme="majorHAnsi" w:cs="Times New Roman"/>
          <w:lang w:eastAsia="cs-CZ"/>
        </w:rPr>
        <w:t>nacenění</w:t>
      </w:r>
      <w:proofErr w:type="spellEnd"/>
      <w:r w:rsidR="0017493D" w:rsidRPr="00BE37CA">
        <w:rPr>
          <w:rFonts w:asciiTheme="majorHAnsi" w:eastAsia="Times New Roman" w:hAnsiTheme="majorHAnsi" w:cs="Times New Roman"/>
          <w:lang w:eastAsia="cs-CZ"/>
        </w:rPr>
        <w:t xml:space="preserve"> této položky dostačující.</w:t>
      </w:r>
    </w:p>
    <w:p w14:paraId="391B8656" w14:textId="43197781" w:rsidR="00EE43BF" w:rsidRPr="008421A8" w:rsidRDefault="00EE43BF" w:rsidP="008421A8">
      <w:pPr>
        <w:spacing w:after="0"/>
        <w:rPr>
          <w:rFonts w:asciiTheme="majorHAnsi" w:eastAsia="Times New Roman" w:hAnsiTheme="majorHAnsi" w:cs="Times New Roman"/>
          <w:b/>
          <w:color w:val="FF0000"/>
          <w:lang w:eastAsia="cs-CZ"/>
        </w:rPr>
      </w:pPr>
    </w:p>
    <w:p w14:paraId="430A73AB" w14:textId="03043EDE" w:rsidR="00EE43BF" w:rsidRPr="008421A8" w:rsidRDefault="00EE43BF" w:rsidP="008421A8">
      <w:pPr>
        <w:spacing w:after="0"/>
        <w:rPr>
          <w:rFonts w:asciiTheme="majorHAnsi" w:eastAsia="Times New Roman" w:hAnsiTheme="majorHAnsi" w:cs="Times New Roman"/>
          <w:b/>
          <w:color w:val="FF0000"/>
          <w:lang w:eastAsia="cs-CZ"/>
        </w:rPr>
      </w:pPr>
    </w:p>
    <w:p w14:paraId="31EFDDA4" w14:textId="7D32FFAF" w:rsidR="00EE43BF" w:rsidRPr="008421A8" w:rsidRDefault="00EE43BF" w:rsidP="008421A8">
      <w:pPr>
        <w:spacing w:after="0"/>
        <w:rPr>
          <w:rFonts w:asciiTheme="majorHAnsi" w:eastAsia="Calibri" w:hAnsiTheme="majorHAnsi" w:cs="Times New Roman"/>
          <w:b/>
          <w:lang w:eastAsia="cs-CZ"/>
        </w:rPr>
      </w:pPr>
      <w:r w:rsidRPr="008421A8">
        <w:rPr>
          <w:rFonts w:asciiTheme="majorHAnsi" w:eastAsia="Calibri" w:hAnsiTheme="majorHAnsi" w:cs="Times New Roman"/>
          <w:b/>
          <w:lang w:eastAsia="cs-CZ"/>
        </w:rPr>
        <w:t>Dotaz č. 11:</w:t>
      </w:r>
    </w:p>
    <w:p w14:paraId="7950DDEC" w14:textId="77777777" w:rsidR="008421A8" w:rsidRPr="008421A8" w:rsidRDefault="008421A8" w:rsidP="008421A8">
      <w:pPr>
        <w:spacing w:after="0"/>
        <w:rPr>
          <w:rFonts w:asciiTheme="majorHAnsi" w:hAnsiTheme="majorHAnsi" w:cs="Arial"/>
        </w:rPr>
      </w:pPr>
      <w:r w:rsidRPr="008421A8">
        <w:rPr>
          <w:rFonts w:asciiTheme="majorHAnsi" w:hAnsiTheme="majorHAnsi" w:cs="Arial"/>
        </w:rPr>
        <w:t xml:space="preserve">V soupisu prací </w:t>
      </w:r>
      <w:r w:rsidRPr="000536E2">
        <w:rPr>
          <w:rFonts w:asciiTheme="majorHAnsi" w:hAnsiTheme="majorHAnsi" w:cs="Arial"/>
          <w:b/>
        </w:rPr>
        <w:t>SO 31-11-01</w:t>
      </w:r>
      <w:r w:rsidRPr="008421A8">
        <w:rPr>
          <w:rFonts w:asciiTheme="majorHAnsi" w:hAnsiTheme="majorHAnsi" w:cs="Arial"/>
        </w:rPr>
        <w:t xml:space="preserve"> ŽST Brno-Židenice, železniční spodek se nachází položka:</w:t>
      </w:r>
    </w:p>
    <w:tbl>
      <w:tblPr>
        <w:tblW w:w="8640" w:type="dxa"/>
        <w:tblInd w:w="-3" w:type="dxa"/>
        <w:tblCellMar>
          <w:left w:w="0" w:type="dxa"/>
          <w:right w:w="0" w:type="dxa"/>
        </w:tblCellMar>
        <w:tblLook w:val="04A0" w:firstRow="1" w:lastRow="0" w:firstColumn="1" w:lastColumn="0" w:noHBand="0" w:noVBand="1"/>
      </w:tblPr>
      <w:tblGrid>
        <w:gridCol w:w="782"/>
        <w:gridCol w:w="901"/>
        <w:gridCol w:w="517"/>
        <w:gridCol w:w="4747"/>
        <w:gridCol w:w="634"/>
        <w:gridCol w:w="1059"/>
      </w:tblGrid>
      <w:tr w:rsidR="008421A8" w:rsidRPr="008421A8" w14:paraId="38EC6212" w14:textId="77777777" w:rsidTr="008421A8">
        <w:trPr>
          <w:trHeight w:val="300"/>
        </w:trPr>
        <w:tc>
          <w:tcPr>
            <w:tcW w:w="782"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7D9C34EF" w14:textId="77777777" w:rsidR="008421A8" w:rsidRPr="008421A8" w:rsidRDefault="008421A8" w:rsidP="008421A8">
            <w:pPr>
              <w:spacing w:after="0"/>
              <w:jc w:val="right"/>
              <w:rPr>
                <w:rFonts w:asciiTheme="majorHAnsi" w:hAnsiTheme="majorHAnsi" w:cs="Arial"/>
              </w:rPr>
            </w:pPr>
            <w:r w:rsidRPr="008421A8">
              <w:rPr>
                <w:rFonts w:asciiTheme="majorHAnsi" w:hAnsiTheme="majorHAnsi" w:cs="Arial"/>
              </w:rPr>
              <w:t>20</w:t>
            </w:r>
          </w:p>
        </w:tc>
        <w:tc>
          <w:tcPr>
            <w:tcW w:w="901"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6CA7B88C" w14:textId="77777777" w:rsidR="008421A8" w:rsidRPr="008421A8" w:rsidRDefault="008421A8" w:rsidP="008421A8">
            <w:pPr>
              <w:spacing w:after="0"/>
              <w:jc w:val="right"/>
              <w:rPr>
                <w:rFonts w:asciiTheme="majorHAnsi" w:hAnsiTheme="majorHAnsi" w:cs="Arial"/>
              </w:rPr>
            </w:pPr>
            <w:r w:rsidRPr="008421A8">
              <w:rPr>
                <w:rFonts w:asciiTheme="majorHAnsi" w:hAnsiTheme="majorHAnsi" w:cs="Arial"/>
              </w:rPr>
              <w:t>R11533</w:t>
            </w:r>
          </w:p>
        </w:tc>
        <w:tc>
          <w:tcPr>
            <w:tcW w:w="517"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795FB948" w14:textId="77777777" w:rsidR="008421A8" w:rsidRPr="008421A8" w:rsidRDefault="008421A8" w:rsidP="008421A8">
            <w:pPr>
              <w:spacing w:after="0"/>
              <w:rPr>
                <w:rFonts w:asciiTheme="majorHAnsi" w:hAnsiTheme="majorHAnsi" w:cs="Arial"/>
              </w:rPr>
            </w:pPr>
            <w:r w:rsidRPr="008421A8">
              <w:rPr>
                <w:rFonts w:asciiTheme="majorHAnsi" w:hAnsiTheme="majorHAnsi" w:cs="Arial"/>
              </w:rPr>
              <w:t> </w:t>
            </w:r>
          </w:p>
        </w:tc>
        <w:tc>
          <w:tcPr>
            <w:tcW w:w="4747" w:type="dxa"/>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68540B0C" w14:textId="77777777" w:rsidR="008421A8" w:rsidRPr="008421A8" w:rsidRDefault="008421A8" w:rsidP="008421A8">
            <w:pPr>
              <w:spacing w:after="0"/>
              <w:rPr>
                <w:rFonts w:asciiTheme="majorHAnsi" w:hAnsiTheme="majorHAnsi" w:cs="Arial"/>
              </w:rPr>
            </w:pPr>
            <w:r w:rsidRPr="008421A8">
              <w:rPr>
                <w:rFonts w:asciiTheme="majorHAnsi" w:hAnsiTheme="majorHAnsi" w:cs="Arial"/>
              </w:rPr>
              <w:t>PRÁCE A DODÁVKY SPOJENÉ S ČERPÁNÍM VODY</w:t>
            </w:r>
          </w:p>
        </w:tc>
        <w:tc>
          <w:tcPr>
            <w:tcW w:w="634"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7B38A9FE" w14:textId="77777777" w:rsidR="008421A8" w:rsidRPr="008421A8" w:rsidRDefault="008421A8" w:rsidP="008421A8">
            <w:pPr>
              <w:spacing w:after="0"/>
              <w:jc w:val="center"/>
              <w:rPr>
                <w:rFonts w:asciiTheme="majorHAnsi" w:hAnsiTheme="majorHAnsi" w:cs="Arial"/>
              </w:rPr>
            </w:pPr>
            <w:r w:rsidRPr="008421A8">
              <w:rPr>
                <w:rFonts w:asciiTheme="majorHAnsi" w:hAnsiTheme="majorHAnsi" w:cs="Arial"/>
              </w:rPr>
              <w:t>KPL</w:t>
            </w:r>
          </w:p>
        </w:tc>
        <w:tc>
          <w:tcPr>
            <w:tcW w:w="1059"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47DE5EEC" w14:textId="77777777" w:rsidR="008421A8" w:rsidRPr="008421A8" w:rsidRDefault="008421A8" w:rsidP="008421A8">
            <w:pPr>
              <w:spacing w:after="0"/>
              <w:jc w:val="center"/>
              <w:rPr>
                <w:rFonts w:asciiTheme="majorHAnsi" w:hAnsiTheme="majorHAnsi" w:cs="Arial"/>
              </w:rPr>
            </w:pPr>
            <w:r w:rsidRPr="008421A8">
              <w:rPr>
                <w:rFonts w:asciiTheme="majorHAnsi" w:hAnsiTheme="majorHAnsi" w:cs="Arial"/>
              </w:rPr>
              <w:t>    1,000</w:t>
            </w:r>
          </w:p>
        </w:tc>
      </w:tr>
    </w:tbl>
    <w:p w14:paraId="10AD5DBC" w14:textId="77777777" w:rsidR="008421A8" w:rsidRPr="008421A8" w:rsidRDefault="008421A8" w:rsidP="008421A8">
      <w:pPr>
        <w:spacing w:after="0"/>
        <w:rPr>
          <w:rFonts w:asciiTheme="majorHAnsi" w:hAnsiTheme="majorHAnsi" w:cs="Arial"/>
        </w:rPr>
      </w:pPr>
      <w:r w:rsidRPr="008421A8">
        <w:rPr>
          <w:rFonts w:asciiTheme="majorHAnsi" w:hAnsiTheme="majorHAnsi" w:cs="Arial"/>
        </w:rPr>
        <w:t>V popise položky se uvádí:</w:t>
      </w:r>
    </w:p>
    <w:p w14:paraId="65F1B3A3" w14:textId="77777777" w:rsidR="008421A8" w:rsidRPr="008421A8" w:rsidRDefault="008421A8" w:rsidP="008421A8">
      <w:pPr>
        <w:spacing w:after="0"/>
        <w:jc w:val="both"/>
        <w:rPr>
          <w:rFonts w:asciiTheme="majorHAnsi" w:hAnsiTheme="majorHAnsi" w:cs="Arial"/>
        </w:rPr>
      </w:pPr>
      <w:r w:rsidRPr="008421A8">
        <w:rPr>
          <w:rFonts w:asciiTheme="majorHAnsi" w:hAnsiTheme="majorHAnsi" w:cs="Arial"/>
        </w:rPr>
        <w:t>Dle technické zprávy, výkresových příloh projektové dokumentace. Dle výkazů materiálu projektu. Dle tabulky kubatur projektanta. Provizorní čerpání vody z </w:t>
      </w:r>
      <w:proofErr w:type="gramStart"/>
      <w:r w:rsidRPr="008421A8">
        <w:rPr>
          <w:rFonts w:asciiTheme="majorHAnsi" w:hAnsiTheme="majorHAnsi" w:cs="Arial"/>
        </w:rPr>
        <w:t>trativodů - čerpání</w:t>
      </w:r>
      <w:proofErr w:type="gramEnd"/>
      <w:r w:rsidRPr="008421A8">
        <w:rPr>
          <w:rFonts w:asciiTheme="majorHAnsi" w:hAnsiTheme="majorHAnsi" w:cs="Arial"/>
        </w:rPr>
        <w:t xml:space="preserve"> vody do 500 l/min, 50 = 50,000 [A].</w:t>
      </w:r>
    </w:p>
    <w:p w14:paraId="048552DA" w14:textId="77777777" w:rsidR="008421A8" w:rsidRPr="008421A8" w:rsidRDefault="008421A8" w:rsidP="008421A8">
      <w:pPr>
        <w:spacing w:after="0"/>
        <w:rPr>
          <w:rFonts w:asciiTheme="majorHAnsi" w:hAnsiTheme="majorHAnsi" w:cs="Arial"/>
        </w:rPr>
      </w:pPr>
      <w:r w:rsidRPr="008421A8">
        <w:rPr>
          <w:rFonts w:asciiTheme="majorHAnsi" w:hAnsiTheme="majorHAnsi" w:cs="Arial"/>
        </w:rPr>
        <w:t>Položka zahrnuje:</w:t>
      </w:r>
    </w:p>
    <w:p w14:paraId="09C8387C" w14:textId="77777777" w:rsidR="008421A8" w:rsidRPr="008421A8" w:rsidRDefault="008421A8" w:rsidP="008421A8">
      <w:pPr>
        <w:spacing w:after="0"/>
        <w:rPr>
          <w:rFonts w:asciiTheme="majorHAnsi" w:hAnsiTheme="majorHAnsi" w:cs="Arial"/>
        </w:rPr>
      </w:pPr>
      <w:r w:rsidRPr="008421A8">
        <w:rPr>
          <w:rFonts w:asciiTheme="majorHAnsi" w:hAnsiTheme="majorHAnsi" w:cs="Arial"/>
        </w:rPr>
        <w:t>- čerpání vody na povrchu</w:t>
      </w:r>
    </w:p>
    <w:p w14:paraId="612BA4DE" w14:textId="77777777" w:rsidR="008421A8" w:rsidRPr="008421A8" w:rsidRDefault="008421A8" w:rsidP="008421A8">
      <w:pPr>
        <w:spacing w:after="0"/>
        <w:rPr>
          <w:rFonts w:asciiTheme="majorHAnsi" w:hAnsiTheme="majorHAnsi" w:cs="Arial"/>
        </w:rPr>
      </w:pPr>
      <w:r w:rsidRPr="008421A8">
        <w:rPr>
          <w:rFonts w:asciiTheme="majorHAnsi" w:hAnsiTheme="majorHAnsi" w:cs="Arial"/>
        </w:rPr>
        <w:t xml:space="preserve">- potrubí </w:t>
      </w:r>
    </w:p>
    <w:p w14:paraId="6260BED9" w14:textId="77777777" w:rsidR="008421A8" w:rsidRPr="008421A8" w:rsidRDefault="008421A8" w:rsidP="008421A8">
      <w:pPr>
        <w:spacing w:after="0"/>
        <w:rPr>
          <w:rFonts w:asciiTheme="majorHAnsi" w:hAnsiTheme="majorHAnsi" w:cs="Arial"/>
        </w:rPr>
      </w:pPr>
      <w:r w:rsidRPr="008421A8">
        <w:rPr>
          <w:rFonts w:asciiTheme="majorHAnsi" w:hAnsiTheme="majorHAnsi" w:cs="Arial"/>
        </w:rPr>
        <w:t>- pohotovost záložní čerpací soupravy</w:t>
      </w:r>
    </w:p>
    <w:p w14:paraId="348681BF" w14:textId="77777777" w:rsidR="008421A8" w:rsidRPr="008421A8" w:rsidRDefault="008421A8" w:rsidP="008421A8">
      <w:pPr>
        <w:spacing w:after="0"/>
        <w:rPr>
          <w:rFonts w:asciiTheme="majorHAnsi" w:hAnsiTheme="majorHAnsi" w:cs="Arial"/>
        </w:rPr>
      </w:pPr>
      <w:r w:rsidRPr="008421A8">
        <w:rPr>
          <w:rFonts w:asciiTheme="majorHAnsi" w:hAnsiTheme="majorHAnsi" w:cs="Arial"/>
        </w:rPr>
        <w:t>- zřízení čerpací jímky</w:t>
      </w:r>
    </w:p>
    <w:p w14:paraId="272C39FB" w14:textId="77777777" w:rsidR="008421A8" w:rsidRPr="008421A8" w:rsidRDefault="008421A8" w:rsidP="008421A8">
      <w:pPr>
        <w:spacing w:after="0"/>
        <w:rPr>
          <w:rFonts w:asciiTheme="majorHAnsi" w:hAnsiTheme="majorHAnsi" w:cs="Arial"/>
        </w:rPr>
      </w:pPr>
      <w:r w:rsidRPr="008421A8">
        <w:rPr>
          <w:rFonts w:asciiTheme="majorHAnsi" w:hAnsiTheme="majorHAnsi" w:cs="Arial"/>
        </w:rPr>
        <w:t>- následná demontáž a likvidace těchto zařízení</w:t>
      </w:r>
    </w:p>
    <w:p w14:paraId="64E121A2" w14:textId="77777777" w:rsidR="008421A8" w:rsidRPr="008421A8" w:rsidRDefault="008421A8" w:rsidP="008421A8">
      <w:pPr>
        <w:spacing w:after="0"/>
        <w:rPr>
          <w:rFonts w:asciiTheme="majorHAnsi" w:hAnsiTheme="majorHAnsi" w:cs="Arial"/>
        </w:rPr>
      </w:pPr>
      <w:r w:rsidRPr="008421A8">
        <w:rPr>
          <w:rFonts w:asciiTheme="majorHAnsi" w:hAnsiTheme="majorHAnsi" w:cs="Arial"/>
        </w:rPr>
        <w:t>Domníváme se, že položka je duplicitní v souvislosti s položkou č. 2.  11511 ČERPÁNÍ VODY DO 500 L/</w:t>
      </w:r>
      <w:proofErr w:type="gramStart"/>
      <w:r w:rsidRPr="008421A8">
        <w:rPr>
          <w:rFonts w:asciiTheme="majorHAnsi" w:hAnsiTheme="majorHAnsi" w:cs="Arial"/>
        </w:rPr>
        <w:t>MIN - HOD</w:t>
      </w:r>
      <w:proofErr w:type="gramEnd"/>
      <w:r w:rsidRPr="008421A8">
        <w:rPr>
          <w:rFonts w:asciiTheme="majorHAnsi" w:hAnsiTheme="majorHAnsi" w:cs="Arial"/>
        </w:rPr>
        <w:t xml:space="preserve"> 50,000. </w:t>
      </w:r>
    </w:p>
    <w:p w14:paraId="2BD41E4B" w14:textId="77777777" w:rsidR="008421A8" w:rsidRPr="008421A8" w:rsidRDefault="008421A8" w:rsidP="008421A8">
      <w:pPr>
        <w:spacing w:after="0"/>
        <w:rPr>
          <w:rFonts w:asciiTheme="majorHAnsi" w:hAnsiTheme="majorHAnsi" w:cs="Arial"/>
          <w:color w:val="6C6C6C"/>
        </w:rPr>
      </w:pPr>
      <w:r w:rsidRPr="008421A8">
        <w:rPr>
          <w:rFonts w:asciiTheme="majorHAnsi" w:hAnsiTheme="majorHAnsi" w:cs="Arial"/>
        </w:rPr>
        <w:t>Žádáme Zadavatele o vysvětlení.</w:t>
      </w:r>
    </w:p>
    <w:p w14:paraId="5A169AD8" w14:textId="77777777" w:rsidR="00EE43BF" w:rsidRPr="008421A8" w:rsidRDefault="00EE43BF" w:rsidP="008421A8">
      <w:pPr>
        <w:spacing w:after="0"/>
        <w:rPr>
          <w:rFonts w:asciiTheme="majorHAnsi" w:eastAsia="Times New Roman" w:hAnsiTheme="majorHAnsi" w:cs="Times New Roman"/>
          <w:b/>
          <w:color w:val="FF0000"/>
          <w:lang w:eastAsia="cs-CZ"/>
        </w:rPr>
      </w:pPr>
    </w:p>
    <w:p w14:paraId="303F2823" w14:textId="77777777" w:rsidR="00EE43BF" w:rsidRPr="008421A8" w:rsidRDefault="00EE43BF" w:rsidP="008421A8">
      <w:pPr>
        <w:spacing w:after="0"/>
        <w:rPr>
          <w:rFonts w:asciiTheme="majorHAnsi" w:eastAsia="Calibri" w:hAnsiTheme="majorHAnsi" w:cs="Times New Roman"/>
          <w:b/>
          <w:color w:val="FF0000"/>
          <w:lang w:eastAsia="cs-CZ"/>
        </w:rPr>
      </w:pPr>
      <w:r w:rsidRPr="008421A8">
        <w:rPr>
          <w:rFonts w:asciiTheme="majorHAnsi" w:eastAsia="Calibri" w:hAnsiTheme="majorHAnsi" w:cs="Times New Roman"/>
          <w:b/>
          <w:lang w:eastAsia="cs-CZ"/>
        </w:rPr>
        <w:t xml:space="preserve">Odpověď: </w:t>
      </w:r>
    </w:p>
    <w:p w14:paraId="54EC72A9" w14:textId="07F87394" w:rsidR="00EE43BF" w:rsidRPr="00BE37CA" w:rsidRDefault="0017493D" w:rsidP="008421A8">
      <w:pPr>
        <w:spacing w:after="0"/>
        <w:rPr>
          <w:rFonts w:asciiTheme="majorHAnsi" w:eastAsia="Times New Roman" w:hAnsiTheme="majorHAnsi" w:cs="Times New Roman"/>
          <w:lang w:eastAsia="cs-CZ"/>
        </w:rPr>
      </w:pPr>
      <w:r w:rsidRPr="00BE37CA">
        <w:rPr>
          <w:rFonts w:asciiTheme="majorHAnsi" w:eastAsia="Times New Roman" w:hAnsiTheme="majorHAnsi" w:cs="Times New Roman"/>
          <w:lang w:eastAsia="cs-CZ"/>
        </w:rPr>
        <w:t xml:space="preserve">Položka č. 2. </w:t>
      </w:r>
      <w:r w:rsidR="00133A10" w:rsidRPr="00BE37CA">
        <w:rPr>
          <w:rFonts w:asciiTheme="majorHAnsi" w:eastAsia="Times New Roman" w:hAnsiTheme="majorHAnsi" w:cs="Times New Roman"/>
          <w:lang w:eastAsia="cs-CZ"/>
        </w:rPr>
        <w:t>11511 ČERPÁNÍ VODY DO 500 L/MIN s výměrou 50 HOD je uvažována jako přepokládaný objem případného čerpání vody. Do položky č.</w:t>
      </w:r>
      <w:r w:rsidRPr="00BE37CA">
        <w:rPr>
          <w:rFonts w:asciiTheme="majorHAnsi" w:eastAsia="Times New Roman" w:hAnsiTheme="majorHAnsi" w:cs="Times New Roman"/>
          <w:lang w:eastAsia="cs-CZ"/>
        </w:rPr>
        <w:t xml:space="preserve"> </w:t>
      </w:r>
      <w:r w:rsidR="00133A10" w:rsidRPr="00BE37CA">
        <w:rPr>
          <w:rFonts w:asciiTheme="majorHAnsi" w:eastAsia="Times New Roman" w:hAnsiTheme="majorHAnsi" w:cs="Times New Roman"/>
          <w:lang w:eastAsia="cs-CZ"/>
        </w:rPr>
        <w:t>20 R11533 PRÁCE A DODÁVKY SPOJENÉ S ČERPÁNÍM VODY s výměrou 1 KPL zhotovitel zahrne všechny další případné náklady sp</w:t>
      </w:r>
      <w:r w:rsidRPr="00BE37CA">
        <w:rPr>
          <w:rFonts w:asciiTheme="majorHAnsi" w:eastAsia="Times New Roman" w:hAnsiTheme="majorHAnsi" w:cs="Times New Roman"/>
          <w:lang w:eastAsia="cs-CZ"/>
        </w:rPr>
        <w:t xml:space="preserve">ojené s čerpáním vody </w:t>
      </w:r>
      <w:r w:rsidR="00133A10" w:rsidRPr="00BE37CA">
        <w:rPr>
          <w:rFonts w:asciiTheme="majorHAnsi" w:eastAsia="Times New Roman" w:hAnsiTheme="majorHAnsi" w:cs="Times New Roman"/>
          <w:lang w:eastAsia="cs-CZ"/>
        </w:rPr>
        <w:t xml:space="preserve">jako jsou např. poplatky za vypouštění vod do kanalizace, projednání se správcem, měření atd. Předpokládá se, že zhotovitel provede ocenění položky č. 20 podle místních podmínek, které nemusí zahrnovat všechny body uvedené v její specifikaci.  </w:t>
      </w:r>
    </w:p>
    <w:p w14:paraId="53EEB144" w14:textId="5C18988F" w:rsidR="00EE43BF" w:rsidRDefault="00EE43BF" w:rsidP="008421A8">
      <w:pPr>
        <w:spacing w:after="0"/>
        <w:rPr>
          <w:rFonts w:asciiTheme="majorHAnsi" w:eastAsia="Times New Roman" w:hAnsiTheme="majorHAnsi" w:cs="Times New Roman"/>
          <w:b/>
          <w:color w:val="FF0000"/>
          <w:lang w:eastAsia="cs-CZ"/>
        </w:rPr>
      </w:pPr>
    </w:p>
    <w:p w14:paraId="36A18FAD" w14:textId="77777777" w:rsidR="00BE37CA" w:rsidRPr="008421A8" w:rsidRDefault="00BE37CA" w:rsidP="008421A8">
      <w:pPr>
        <w:spacing w:after="0"/>
        <w:rPr>
          <w:rFonts w:asciiTheme="majorHAnsi" w:eastAsia="Times New Roman" w:hAnsiTheme="majorHAnsi" w:cs="Times New Roman"/>
          <w:b/>
          <w:color w:val="FF0000"/>
          <w:lang w:eastAsia="cs-CZ"/>
        </w:rPr>
      </w:pPr>
    </w:p>
    <w:p w14:paraId="084A4668" w14:textId="7F55CE3A" w:rsidR="00EE43BF" w:rsidRPr="008421A8" w:rsidRDefault="00EE43BF" w:rsidP="008421A8">
      <w:pPr>
        <w:spacing w:after="0"/>
        <w:rPr>
          <w:rFonts w:asciiTheme="majorHAnsi" w:eastAsia="Calibri" w:hAnsiTheme="majorHAnsi" w:cs="Times New Roman"/>
          <w:b/>
          <w:lang w:eastAsia="cs-CZ"/>
        </w:rPr>
      </w:pPr>
      <w:r w:rsidRPr="008421A8">
        <w:rPr>
          <w:rFonts w:asciiTheme="majorHAnsi" w:eastAsia="Calibri" w:hAnsiTheme="majorHAnsi" w:cs="Times New Roman"/>
          <w:b/>
          <w:lang w:eastAsia="cs-CZ"/>
        </w:rPr>
        <w:t>Dotaz č. 12:</w:t>
      </w:r>
    </w:p>
    <w:p w14:paraId="393FF564" w14:textId="77777777" w:rsidR="008421A8" w:rsidRPr="008421A8" w:rsidRDefault="008421A8" w:rsidP="008421A8">
      <w:pPr>
        <w:spacing w:after="0"/>
        <w:rPr>
          <w:rFonts w:asciiTheme="majorHAnsi" w:hAnsiTheme="majorHAnsi" w:cs="Arial"/>
          <w:color w:val="6C6C6C"/>
        </w:rPr>
      </w:pPr>
      <w:r w:rsidRPr="008421A8">
        <w:rPr>
          <w:rFonts w:asciiTheme="majorHAnsi" w:hAnsiTheme="majorHAnsi" w:cs="Arial"/>
        </w:rPr>
        <w:t xml:space="preserve">V soupisu prací </w:t>
      </w:r>
      <w:r w:rsidRPr="00CC7345">
        <w:rPr>
          <w:rFonts w:asciiTheme="majorHAnsi" w:hAnsiTheme="majorHAnsi" w:cs="Arial"/>
          <w:b/>
          <w:color w:val="000000"/>
        </w:rPr>
        <w:t>SO 31-11-02</w:t>
      </w:r>
      <w:r w:rsidRPr="008421A8">
        <w:rPr>
          <w:rFonts w:asciiTheme="majorHAnsi" w:hAnsiTheme="majorHAnsi" w:cs="Arial"/>
          <w:color w:val="000000"/>
        </w:rPr>
        <w:t xml:space="preserve"> ŽST Brno-Židenice, železniční spodek – provizorní stav se nachází položka:</w:t>
      </w:r>
    </w:p>
    <w:tbl>
      <w:tblPr>
        <w:tblW w:w="8357" w:type="dxa"/>
        <w:tblInd w:w="-3" w:type="dxa"/>
        <w:tblCellMar>
          <w:left w:w="0" w:type="dxa"/>
          <w:right w:w="0" w:type="dxa"/>
        </w:tblCellMar>
        <w:tblLook w:val="04A0" w:firstRow="1" w:lastRow="0" w:firstColumn="1" w:lastColumn="0" w:noHBand="0" w:noVBand="1"/>
      </w:tblPr>
      <w:tblGrid>
        <w:gridCol w:w="782"/>
        <w:gridCol w:w="901"/>
        <w:gridCol w:w="517"/>
        <w:gridCol w:w="4172"/>
        <w:gridCol w:w="709"/>
        <w:gridCol w:w="1276"/>
      </w:tblGrid>
      <w:tr w:rsidR="008421A8" w:rsidRPr="008421A8" w14:paraId="1E0D86E9" w14:textId="77777777" w:rsidTr="008421A8">
        <w:trPr>
          <w:trHeight w:val="300"/>
        </w:trPr>
        <w:tc>
          <w:tcPr>
            <w:tcW w:w="782"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14:paraId="65B5C868" w14:textId="77777777" w:rsidR="008421A8" w:rsidRPr="008421A8" w:rsidRDefault="008421A8" w:rsidP="008421A8">
            <w:pPr>
              <w:spacing w:after="0"/>
              <w:jc w:val="right"/>
              <w:rPr>
                <w:rFonts w:asciiTheme="majorHAnsi" w:hAnsiTheme="majorHAnsi" w:cs="Arial"/>
              </w:rPr>
            </w:pPr>
            <w:r w:rsidRPr="008421A8">
              <w:rPr>
                <w:rFonts w:asciiTheme="majorHAnsi" w:hAnsiTheme="majorHAnsi" w:cs="Arial"/>
              </w:rPr>
              <w:t>26</w:t>
            </w:r>
          </w:p>
        </w:tc>
        <w:tc>
          <w:tcPr>
            <w:tcW w:w="901"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09D617C6" w14:textId="77777777" w:rsidR="008421A8" w:rsidRPr="008421A8" w:rsidRDefault="008421A8" w:rsidP="008421A8">
            <w:pPr>
              <w:spacing w:after="0"/>
              <w:jc w:val="right"/>
              <w:rPr>
                <w:rFonts w:asciiTheme="majorHAnsi" w:hAnsiTheme="majorHAnsi" w:cs="Arial"/>
              </w:rPr>
            </w:pPr>
            <w:r w:rsidRPr="008421A8">
              <w:rPr>
                <w:rFonts w:asciiTheme="majorHAnsi" w:hAnsiTheme="majorHAnsi" w:cs="Arial"/>
              </w:rPr>
              <w:t>R28961</w:t>
            </w:r>
          </w:p>
        </w:tc>
        <w:tc>
          <w:tcPr>
            <w:tcW w:w="517"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755AC02C" w14:textId="77777777" w:rsidR="008421A8" w:rsidRPr="008421A8" w:rsidRDefault="008421A8" w:rsidP="008421A8">
            <w:pPr>
              <w:spacing w:after="0"/>
              <w:rPr>
                <w:rFonts w:asciiTheme="majorHAnsi" w:hAnsiTheme="majorHAnsi" w:cs="Arial"/>
              </w:rPr>
            </w:pPr>
            <w:r w:rsidRPr="008421A8">
              <w:rPr>
                <w:rFonts w:asciiTheme="majorHAnsi" w:hAnsiTheme="majorHAnsi" w:cs="Arial"/>
              </w:rPr>
              <w:t> </w:t>
            </w:r>
          </w:p>
        </w:tc>
        <w:tc>
          <w:tcPr>
            <w:tcW w:w="4172" w:type="dxa"/>
            <w:tcBorders>
              <w:top w:val="single" w:sz="8" w:space="0" w:color="000000"/>
              <w:left w:val="nil"/>
              <w:bottom w:val="single" w:sz="8" w:space="0" w:color="000000"/>
              <w:right w:val="single" w:sz="8" w:space="0" w:color="000000"/>
            </w:tcBorders>
            <w:tcMar>
              <w:top w:w="0" w:type="dxa"/>
              <w:left w:w="70" w:type="dxa"/>
              <w:bottom w:w="0" w:type="dxa"/>
              <w:right w:w="70" w:type="dxa"/>
            </w:tcMar>
            <w:vAlign w:val="bottom"/>
            <w:hideMark/>
          </w:tcPr>
          <w:p w14:paraId="358B4F7F" w14:textId="77777777" w:rsidR="008421A8" w:rsidRPr="008421A8" w:rsidRDefault="008421A8" w:rsidP="008421A8">
            <w:pPr>
              <w:spacing w:after="0"/>
              <w:rPr>
                <w:rFonts w:asciiTheme="majorHAnsi" w:hAnsiTheme="majorHAnsi" w:cs="Arial"/>
              </w:rPr>
            </w:pPr>
            <w:r w:rsidRPr="008421A8">
              <w:rPr>
                <w:rFonts w:asciiTheme="majorHAnsi" w:hAnsiTheme="majorHAnsi" w:cs="Arial"/>
              </w:rPr>
              <w:t>OPEVNĚNÍ SVAHU MĚKKÝM LÍCEM</w:t>
            </w:r>
          </w:p>
        </w:tc>
        <w:tc>
          <w:tcPr>
            <w:tcW w:w="709"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3C758A30" w14:textId="77777777" w:rsidR="008421A8" w:rsidRPr="008421A8" w:rsidRDefault="008421A8" w:rsidP="008421A8">
            <w:pPr>
              <w:spacing w:after="0"/>
              <w:jc w:val="center"/>
              <w:rPr>
                <w:rFonts w:asciiTheme="majorHAnsi" w:hAnsiTheme="majorHAnsi" w:cs="Arial"/>
              </w:rPr>
            </w:pPr>
            <w:r w:rsidRPr="008421A8">
              <w:rPr>
                <w:rFonts w:asciiTheme="majorHAnsi" w:hAnsiTheme="majorHAnsi" w:cs="Arial"/>
              </w:rPr>
              <w:t>M2</w:t>
            </w:r>
          </w:p>
        </w:tc>
        <w:tc>
          <w:tcPr>
            <w:tcW w:w="1276"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14:paraId="04431F1E" w14:textId="77777777" w:rsidR="008421A8" w:rsidRPr="008421A8" w:rsidRDefault="008421A8" w:rsidP="008421A8">
            <w:pPr>
              <w:spacing w:after="0"/>
              <w:jc w:val="center"/>
              <w:rPr>
                <w:rFonts w:asciiTheme="majorHAnsi" w:hAnsiTheme="majorHAnsi" w:cs="Arial"/>
              </w:rPr>
            </w:pPr>
            <w:r w:rsidRPr="008421A8">
              <w:rPr>
                <w:rFonts w:asciiTheme="majorHAnsi" w:hAnsiTheme="majorHAnsi" w:cs="Arial"/>
              </w:rPr>
              <w:t>    130,000</w:t>
            </w:r>
          </w:p>
        </w:tc>
      </w:tr>
    </w:tbl>
    <w:p w14:paraId="1D0A5FAB" w14:textId="77777777" w:rsidR="008421A8" w:rsidRPr="008421A8" w:rsidRDefault="008421A8" w:rsidP="008421A8">
      <w:pPr>
        <w:spacing w:after="0"/>
        <w:rPr>
          <w:rFonts w:asciiTheme="majorHAnsi" w:eastAsia="Calibri" w:hAnsiTheme="majorHAnsi" w:cs="Arial"/>
        </w:rPr>
      </w:pPr>
      <w:r w:rsidRPr="008421A8">
        <w:rPr>
          <w:rFonts w:asciiTheme="majorHAnsi" w:hAnsiTheme="majorHAnsi" w:cs="Arial"/>
        </w:rPr>
        <w:t>V popise položky je uvedeno:</w:t>
      </w:r>
    </w:p>
    <w:p w14:paraId="7E8F9E6A" w14:textId="1006845F" w:rsidR="008421A8" w:rsidRPr="008421A8" w:rsidRDefault="008421A8" w:rsidP="008421A8">
      <w:pPr>
        <w:spacing w:after="0"/>
        <w:jc w:val="both"/>
        <w:rPr>
          <w:rFonts w:asciiTheme="majorHAnsi" w:hAnsiTheme="majorHAnsi" w:cs="Arial"/>
        </w:rPr>
      </w:pPr>
      <w:r w:rsidRPr="008421A8">
        <w:rPr>
          <w:rFonts w:asciiTheme="majorHAnsi" w:hAnsiTheme="majorHAnsi" w:cs="Arial"/>
        </w:rPr>
        <w:t>Dle technické zprávy, výkresových příloh projektové dokumentace. Dle výkazů materiálu projektu. Dle tabulky kubatur projektanta, celková plocha opevnění 130 m</w:t>
      </w:r>
      <w:r w:rsidRPr="008421A8">
        <w:rPr>
          <w:rFonts w:asciiTheme="majorHAnsi" w:hAnsiTheme="majorHAnsi" w:cs="Arial"/>
          <w:vertAlign w:val="superscript"/>
        </w:rPr>
        <w:t>2</w:t>
      </w:r>
      <w:r w:rsidRPr="008421A8">
        <w:rPr>
          <w:rFonts w:asciiTheme="majorHAnsi" w:hAnsiTheme="majorHAnsi" w:cs="Arial"/>
        </w:rPr>
        <w:t>, realizace posuvným bednění 130 m</w:t>
      </w:r>
      <w:r w:rsidRPr="008421A8">
        <w:rPr>
          <w:rFonts w:asciiTheme="majorHAnsi" w:hAnsiTheme="majorHAnsi" w:cs="Arial"/>
          <w:vertAlign w:val="superscript"/>
        </w:rPr>
        <w:t>2</w:t>
      </w:r>
      <w:r w:rsidRPr="008421A8">
        <w:rPr>
          <w:rFonts w:asciiTheme="majorHAnsi" w:hAnsiTheme="majorHAnsi" w:cs="Arial"/>
        </w:rPr>
        <w:t>, 130 = 130,000 [A.</w:t>
      </w:r>
    </w:p>
    <w:p w14:paraId="065922C4" w14:textId="5BBD80E4" w:rsidR="008421A8" w:rsidRPr="008421A8" w:rsidRDefault="008421A8" w:rsidP="008421A8">
      <w:pPr>
        <w:spacing w:after="0"/>
        <w:jc w:val="both"/>
        <w:rPr>
          <w:rFonts w:asciiTheme="majorHAnsi" w:hAnsiTheme="majorHAnsi" w:cs="Arial"/>
        </w:rPr>
      </w:pPr>
      <w:r w:rsidRPr="008421A8">
        <w:rPr>
          <w:rFonts w:asciiTheme="majorHAnsi" w:hAnsiTheme="majorHAnsi" w:cs="Arial"/>
        </w:rPr>
        <w:t xml:space="preserve">Z dostupné projektové dokumentace není zřejmé, jaké materiály a činnosti je potřebné ocenit u této položky. </w:t>
      </w:r>
    </w:p>
    <w:p w14:paraId="24977E4A" w14:textId="77777777" w:rsidR="008421A8" w:rsidRPr="008421A8" w:rsidRDefault="008421A8" w:rsidP="008421A8">
      <w:pPr>
        <w:spacing w:after="0"/>
        <w:rPr>
          <w:rFonts w:asciiTheme="majorHAnsi" w:hAnsiTheme="majorHAnsi" w:cs="Arial"/>
          <w:b/>
        </w:rPr>
      </w:pPr>
      <w:r w:rsidRPr="008421A8">
        <w:rPr>
          <w:rFonts w:asciiTheme="majorHAnsi" w:hAnsiTheme="majorHAnsi" w:cs="Arial"/>
        </w:rPr>
        <w:t>Žádáme Zadavatele o vysvětlení</w:t>
      </w:r>
      <w:r w:rsidRPr="008421A8">
        <w:rPr>
          <w:rFonts w:asciiTheme="majorHAnsi" w:hAnsiTheme="majorHAnsi" w:cs="Arial"/>
          <w:b/>
        </w:rPr>
        <w:t>.</w:t>
      </w:r>
    </w:p>
    <w:p w14:paraId="247BB77C" w14:textId="77777777" w:rsidR="00EE43BF" w:rsidRPr="008421A8" w:rsidRDefault="00EE43BF" w:rsidP="00CC7345">
      <w:pPr>
        <w:spacing w:after="0"/>
        <w:rPr>
          <w:rFonts w:asciiTheme="majorHAnsi" w:eastAsia="Times New Roman" w:hAnsiTheme="majorHAnsi" w:cs="Times New Roman"/>
          <w:b/>
          <w:color w:val="FF0000"/>
          <w:lang w:eastAsia="cs-CZ"/>
        </w:rPr>
      </w:pPr>
    </w:p>
    <w:p w14:paraId="393AD043" w14:textId="77777777" w:rsidR="00EE43BF" w:rsidRPr="008421A8" w:rsidRDefault="00EE43BF" w:rsidP="00CC7345">
      <w:pPr>
        <w:spacing w:after="0"/>
        <w:rPr>
          <w:rFonts w:asciiTheme="majorHAnsi" w:eastAsia="Calibri" w:hAnsiTheme="majorHAnsi" w:cs="Times New Roman"/>
          <w:b/>
          <w:color w:val="FF0000"/>
          <w:lang w:eastAsia="cs-CZ"/>
        </w:rPr>
      </w:pPr>
      <w:r w:rsidRPr="008421A8">
        <w:rPr>
          <w:rFonts w:asciiTheme="majorHAnsi" w:eastAsia="Calibri" w:hAnsiTheme="majorHAnsi" w:cs="Times New Roman"/>
          <w:b/>
          <w:lang w:eastAsia="cs-CZ"/>
        </w:rPr>
        <w:t xml:space="preserve">Odpověď: </w:t>
      </w:r>
    </w:p>
    <w:p w14:paraId="2DF10E29" w14:textId="6F119EA3" w:rsidR="00C53085" w:rsidRPr="00BE37CA" w:rsidRDefault="008F2E0D" w:rsidP="00C53085">
      <w:pPr>
        <w:spacing w:after="0"/>
        <w:rPr>
          <w:rFonts w:asciiTheme="majorHAnsi" w:eastAsia="Times New Roman" w:hAnsiTheme="majorHAnsi" w:cs="Times New Roman"/>
          <w:lang w:eastAsia="cs-CZ"/>
        </w:rPr>
      </w:pPr>
      <w:r w:rsidRPr="00BE37CA">
        <w:rPr>
          <w:rFonts w:asciiTheme="majorHAnsi" w:eastAsia="Times New Roman" w:hAnsiTheme="majorHAnsi" w:cs="Times New Roman"/>
          <w:lang w:eastAsia="cs-CZ"/>
        </w:rPr>
        <w:t xml:space="preserve">Součástí položky č. 26 </w:t>
      </w:r>
      <w:r w:rsidR="00C53085" w:rsidRPr="00BE37CA">
        <w:rPr>
          <w:rFonts w:asciiTheme="majorHAnsi" w:eastAsia="Times New Roman" w:hAnsiTheme="majorHAnsi" w:cs="Times New Roman"/>
          <w:lang w:eastAsia="cs-CZ"/>
        </w:rPr>
        <w:t xml:space="preserve">je </w:t>
      </w:r>
      <w:proofErr w:type="spellStart"/>
      <w:r w:rsidRPr="00BE37CA">
        <w:rPr>
          <w:rFonts w:asciiTheme="majorHAnsi" w:eastAsia="Times New Roman" w:hAnsiTheme="majorHAnsi" w:cs="Times New Roman"/>
          <w:lang w:eastAsia="cs-CZ"/>
        </w:rPr>
        <w:t>nacenění</w:t>
      </w:r>
      <w:proofErr w:type="spellEnd"/>
      <w:r w:rsidRPr="00BE37CA">
        <w:rPr>
          <w:rFonts w:asciiTheme="majorHAnsi" w:eastAsia="Times New Roman" w:hAnsiTheme="majorHAnsi" w:cs="Times New Roman"/>
          <w:lang w:eastAsia="cs-CZ"/>
        </w:rPr>
        <w:t xml:space="preserve"> </w:t>
      </w:r>
      <w:r w:rsidR="00C53085" w:rsidRPr="00BE37CA">
        <w:rPr>
          <w:rFonts w:asciiTheme="majorHAnsi" w:eastAsia="Times New Roman" w:hAnsiTheme="majorHAnsi" w:cs="Times New Roman"/>
          <w:lang w:eastAsia="cs-CZ"/>
        </w:rPr>
        <w:t xml:space="preserve">pouze provedení měkkého líce včetně bednění. Kubatura násypového materiálu je zahrnuta v celkové kubatuře, stejně jako výztužné </w:t>
      </w:r>
      <w:proofErr w:type="spellStart"/>
      <w:r w:rsidR="00C53085" w:rsidRPr="00BE37CA">
        <w:rPr>
          <w:rFonts w:asciiTheme="majorHAnsi" w:eastAsia="Times New Roman" w:hAnsiTheme="majorHAnsi" w:cs="Times New Roman"/>
          <w:lang w:eastAsia="cs-CZ"/>
        </w:rPr>
        <w:t>geomříže</w:t>
      </w:r>
      <w:proofErr w:type="spellEnd"/>
      <w:r w:rsidR="00C53085" w:rsidRPr="00BE37CA">
        <w:rPr>
          <w:rFonts w:asciiTheme="majorHAnsi" w:eastAsia="Times New Roman" w:hAnsiTheme="majorHAnsi" w:cs="Times New Roman"/>
          <w:lang w:eastAsia="cs-CZ"/>
        </w:rPr>
        <w:t xml:space="preserve">. </w:t>
      </w:r>
      <w:proofErr w:type="spellStart"/>
      <w:r w:rsidR="00C53085" w:rsidRPr="00BE37CA">
        <w:rPr>
          <w:rFonts w:asciiTheme="majorHAnsi" w:eastAsia="Times New Roman" w:hAnsiTheme="majorHAnsi" w:cs="Times New Roman"/>
          <w:lang w:eastAsia="cs-CZ"/>
        </w:rPr>
        <w:t>Geotextilie</w:t>
      </w:r>
      <w:proofErr w:type="spellEnd"/>
      <w:r w:rsidRPr="00BE37CA">
        <w:rPr>
          <w:rFonts w:asciiTheme="majorHAnsi" w:eastAsia="Times New Roman" w:hAnsiTheme="majorHAnsi" w:cs="Times New Roman"/>
          <w:lang w:eastAsia="cs-CZ"/>
        </w:rPr>
        <w:t xml:space="preserve"> je rovněž vyčleněna</w:t>
      </w:r>
      <w:r w:rsidR="00C53085" w:rsidRPr="00BE37CA">
        <w:rPr>
          <w:rFonts w:asciiTheme="majorHAnsi" w:eastAsia="Times New Roman" w:hAnsiTheme="majorHAnsi" w:cs="Times New Roman"/>
          <w:lang w:eastAsia="cs-CZ"/>
        </w:rPr>
        <w:t xml:space="preserve"> </w:t>
      </w:r>
      <w:r w:rsidRPr="00BE37CA">
        <w:rPr>
          <w:rFonts w:asciiTheme="majorHAnsi" w:eastAsia="Times New Roman" w:hAnsiTheme="majorHAnsi" w:cs="Times New Roman"/>
          <w:lang w:eastAsia="cs-CZ"/>
        </w:rPr>
        <w:t>do samostatné položky.</w:t>
      </w:r>
    </w:p>
    <w:p w14:paraId="0B770828" w14:textId="533BB805" w:rsidR="00EE43BF" w:rsidRDefault="00EE43BF" w:rsidP="00CC7345">
      <w:pPr>
        <w:spacing w:after="0"/>
        <w:rPr>
          <w:rFonts w:asciiTheme="majorHAnsi" w:eastAsia="Times New Roman" w:hAnsiTheme="majorHAnsi" w:cs="Times New Roman"/>
          <w:b/>
          <w:color w:val="FF0000"/>
          <w:lang w:eastAsia="cs-CZ"/>
        </w:rPr>
      </w:pPr>
    </w:p>
    <w:p w14:paraId="350F7660" w14:textId="77777777" w:rsidR="00CC7345" w:rsidRDefault="00CC7345" w:rsidP="00CC7345">
      <w:pPr>
        <w:spacing w:after="0"/>
        <w:rPr>
          <w:rFonts w:asciiTheme="majorHAnsi" w:eastAsia="Times New Roman" w:hAnsiTheme="majorHAnsi" w:cs="Times New Roman"/>
          <w:b/>
          <w:color w:val="FF0000"/>
          <w:lang w:eastAsia="cs-CZ"/>
        </w:rPr>
      </w:pPr>
    </w:p>
    <w:p w14:paraId="5DC0B3A1" w14:textId="133FB11B" w:rsidR="00CC7345" w:rsidRPr="0073171B" w:rsidRDefault="00CC7345" w:rsidP="00CC7345">
      <w:pPr>
        <w:spacing w:after="0"/>
        <w:rPr>
          <w:rFonts w:eastAsia="Calibri" w:cs="Times New Roman"/>
          <w:b/>
          <w:lang w:eastAsia="cs-CZ"/>
        </w:rPr>
      </w:pPr>
      <w:r w:rsidRPr="0073171B">
        <w:rPr>
          <w:rFonts w:eastAsia="Calibri" w:cs="Times New Roman"/>
          <w:b/>
          <w:lang w:eastAsia="cs-CZ"/>
        </w:rPr>
        <w:t xml:space="preserve">Dotaz č. </w:t>
      </w:r>
      <w:r>
        <w:rPr>
          <w:rFonts w:eastAsia="Calibri" w:cs="Times New Roman"/>
          <w:b/>
          <w:lang w:eastAsia="cs-CZ"/>
        </w:rPr>
        <w:t>13</w:t>
      </w:r>
      <w:r w:rsidRPr="0073171B">
        <w:rPr>
          <w:rFonts w:eastAsia="Calibri" w:cs="Times New Roman"/>
          <w:b/>
          <w:lang w:eastAsia="cs-CZ"/>
        </w:rPr>
        <w:t>:</w:t>
      </w:r>
    </w:p>
    <w:p w14:paraId="46BA0136" w14:textId="77777777" w:rsidR="00CC7345" w:rsidRPr="0026055D" w:rsidRDefault="00CC7345" w:rsidP="00CC7345">
      <w:pPr>
        <w:spacing w:after="0"/>
        <w:jc w:val="both"/>
      </w:pPr>
      <w:r w:rsidRPr="0026055D">
        <w:t>Dotaz k </w:t>
      </w:r>
      <w:r w:rsidRPr="00CC7345">
        <w:rPr>
          <w:b/>
        </w:rPr>
        <w:t>SO 31-30-01.10</w:t>
      </w:r>
      <w:r w:rsidRPr="0026055D">
        <w:t xml:space="preserve">   Přeložky a ochrana sdělovacích kabelových vedení – </w:t>
      </w:r>
      <w:proofErr w:type="spellStart"/>
      <w:r w:rsidRPr="0026055D">
        <w:t>Faster</w:t>
      </w:r>
      <w:proofErr w:type="spellEnd"/>
      <w:r w:rsidRPr="0026055D">
        <w:t>. Dle vyjádření vlastníka náklady spojené s přeložkou bude hradit investor. Před zahájením stavebních prací bude uzavřena</w:t>
      </w:r>
    </w:p>
    <w:p w14:paraId="68CD4E3B" w14:textId="77777777" w:rsidR="00CC7345" w:rsidRPr="0026055D" w:rsidRDefault="00CC7345" w:rsidP="00CC7345">
      <w:pPr>
        <w:spacing w:after="0"/>
        <w:jc w:val="both"/>
      </w:pPr>
      <w:r w:rsidRPr="0026055D">
        <w:t xml:space="preserve">smlouva o přeložce mezi investorem a firmou </w:t>
      </w:r>
      <w:proofErr w:type="spellStart"/>
      <w:r w:rsidRPr="0026055D">
        <w:t>Faster</w:t>
      </w:r>
      <w:proofErr w:type="spellEnd"/>
      <w:r w:rsidRPr="0026055D">
        <w:t xml:space="preserve"> CZ spol. s r.o. </w:t>
      </w:r>
    </w:p>
    <w:p w14:paraId="273F1091" w14:textId="77777777" w:rsidR="00CC7345" w:rsidRPr="0026055D" w:rsidRDefault="00CC7345" w:rsidP="00CC7345">
      <w:pPr>
        <w:spacing w:after="0"/>
        <w:jc w:val="both"/>
      </w:pPr>
      <w:r w:rsidRPr="0026055D">
        <w:t xml:space="preserve">Vlastník sítě tedy předloží nabídku na provedení přeložky a sjedná smluvní vztah vždy napřímo s investorem, můžete tedy tento objekt vyjmout z plnění zhotovitele? </w:t>
      </w:r>
    </w:p>
    <w:p w14:paraId="396B4A11" w14:textId="77777777" w:rsidR="00CC7345" w:rsidRPr="0026055D" w:rsidRDefault="00CC7345" w:rsidP="00CC7345">
      <w:pPr>
        <w:spacing w:after="0"/>
      </w:pPr>
      <w:r w:rsidRPr="0026055D">
        <w:t>Stejná situace je zřejmě také u dalších sdělovacích vedení:</w:t>
      </w:r>
    </w:p>
    <w:tbl>
      <w:tblPr>
        <w:tblW w:w="6800" w:type="dxa"/>
        <w:tblInd w:w="-3" w:type="dxa"/>
        <w:tblCellMar>
          <w:left w:w="0" w:type="dxa"/>
          <w:right w:w="0" w:type="dxa"/>
        </w:tblCellMar>
        <w:tblLook w:val="04A0" w:firstRow="1" w:lastRow="0" w:firstColumn="1" w:lastColumn="0" w:noHBand="0" w:noVBand="1"/>
      </w:tblPr>
      <w:tblGrid>
        <w:gridCol w:w="3400"/>
        <w:gridCol w:w="3400"/>
      </w:tblGrid>
      <w:tr w:rsidR="00CC7345" w:rsidRPr="0026055D" w14:paraId="585EBA9A" w14:textId="77777777" w:rsidTr="00CC7345">
        <w:trPr>
          <w:trHeight w:val="520"/>
        </w:trPr>
        <w:tc>
          <w:tcPr>
            <w:tcW w:w="34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053B46" w14:textId="77777777" w:rsidR="00CC7345" w:rsidRPr="0026055D" w:rsidRDefault="00CC7345" w:rsidP="00CC7345">
            <w:pPr>
              <w:spacing w:after="0"/>
            </w:pPr>
            <w:r w:rsidRPr="0026055D">
              <w:lastRenderedPageBreak/>
              <w:t>                SO 31-30-01. 2</w:t>
            </w:r>
          </w:p>
        </w:tc>
        <w:tc>
          <w:tcPr>
            <w:tcW w:w="34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7BFE91C" w14:textId="77777777" w:rsidR="00CC7345" w:rsidRPr="0026055D" w:rsidRDefault="00CC7345" w:rsidP="00CC7345">
            <w:pPr>
              <w:spacing w:after="0"/>
            </w:pPr>
            <w:r w:rsidRPr="0026055D">
              <w:t xml:space="preserve">Přeložky a ochrana sdělovacích kabelových </w:t>
            </w:r>
            <w:proofErr w:type="gramStart"/>
            <w:r w:rsidRPr="0026055D">
              <w:t>vedení - BKOM</w:t>
            </w:r>
            <w:proofErr w:type="gramEnd"/>
          </w:p>
        </w:tc>
      </w:tr>
      <w:tr w:rsidR="00CC7345" w:rsidRPr="0026055D" w14:paraId="39F2229D" w14:textId="77777777" w:rsidTr="00522BE0">
        <w:trPr>
          <w:trHeight w:val="510"/>
        </w:trPr>
        <w:tc>
          <w:tcPr>
            <w:tcW w:w="340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5298135" w14:textId="77777777" w:rsidR="00CC7345" w:rsidRPr="0026055D" w:rsidRDefault="00CC7345" w:rsidP="00CC7345">
            <w:pPr>
              <w:spacing w:after="0"/>
            </w:pPr>
            <w:r w:rsidRPr="0026055D">
              <w:t>                SO 31-30-01. 5</w:t>
            </w:r>
          </w:p>
        </w:tc>
        <w:tc>
          <w:tcPr>
            <w:tcW w:w="34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44EB13B" w14:textId="77777777" w:rsidR="00CC7345" w:rsidRPr="0026055D" w:rsidRDefault="00CC7345" w:rsidP="00CC7345">
            <w:pPr>
              <w:spacing w:after="0"/>
            </w:pPr>
            <w:r w:rsidRPr="0026055D">
              <w:t>Přeložky a ochrana sdělovacích kabelových vedení - Min. obrany ČR</w:t>
            </w:r>
          </w:p>
        </w:tc>
      </w:tr>
      <w:tr w:rsidR="00CC7345" w:rsidRPr="0026055D" w14:paraId="21D3D550" w14:textId="77777777" w:rsidTr="00522BE0">
        <w:trPr>
          <w:trHeight w:val="510"/>
        </w:trPr>
        <w:tc>
          <w:tcPr>
            <w:tcW w:w="340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926B662" w14:textId="77777777" w:rsidR="00CC7345" w:rsidRPr="0026055D" w:rsidRDefault="00CC7345" w:rsidP="00CC7345">
            <w:pPr>
              <w:spacing w:after="0"/>
            </w:pPr>
            <w:r w:rsidRPr="0026055D">
              <w:t>                SO 31-30-01. 7</w:t>
            </w:r>
          </w:p>
        </w:tc>
        <w:tc>
          <w:tcPr>
            <w:tcW w:w="34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D2F7CCE" w14:textId="77777777" w:rsidR="00CC7345" w:rsidRPr="0026055D" w:rsidRDefault="00CC7345" w:rsidP="00CC7345">
            <w:pPr>
              <w:spacing w:after="0"/>
            </w:pPr>
            <w:r w:rsidRPr="0026055D">
              <w:t xml:space="preserve">Přeložky a ochrana sdělovacích kabelových </w:t>
            </w:r>
            <w:proofErr w:type="gramStart"/>
            <w:r w:rsidRPr="0026055D">
              <w:t>vedení - TS</w:t>
            </w:r>
            <w:proofErr w:type="gramEnd"/>
            <w:r w:rsidRPr="0026055D">
              <w:t xml:space="preserve"> Brno</w:t>
            </w:r>
          </w:p>
        </w:tc>
      </w:tr>
      <w:tr w:rsidR="00CC7345" w:rsidRPr="0026055D" w14:paraId="720231E2" w14:textId="77777777" w:rsidTr="00522BE0">
        <w:trPr>
          <w:trHeight w:val="510"/>
        </w:trPr>
        <w:tc>
          <w:tcPr>
            <w:tcW w:w="340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6AB15E2" w14:textId="77777777" w:rsidR="00CC7345" w:rsidRPr="0026055D" w:rsidRDefault="00CC7345" w:rsidP="00CC7345">
            <w:pPr>
              <w:spacing w:after="0"/>
            </w:pPr>
            <w:r w:rsidRPr="0026055D">
              <w:t>                SO 31-30-01. 8</w:t>
            </w:r>
          </w:p>
        </w:tc>
        <w:tc>
          <w:tcPr>
            <w:tcW w:w="34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C73654D" w14:textId="77777777" w:rsidR="00CC7345" w:rsidRPr="0026055D" w:rsidRDefault="00CC7345" w:rsidP="00CC7345">
            <w:pPr>
              <w:spacing w:after="0"/>
            </w:pPr>
            <w:r w:rsidRPr="0026055D">
              <w:t xml:space="preserve">Přeložky a ochrana sdělovacích kabelových </w:t>
            </w:r>
            <w:proofErr w:type="gramStart"/>
            <w:r w:rsidRPr="0026055D">
              <w:t>vedení - České</w:t>
            </w:r>
            <w:proofErr w:type="gramEnd"/>
            <w:r w:rsidRPr="0026055D">
              <w:t xml:space="preserve"> radiokomunikace</w:t>
            </w:r>
          </w:p>
        </w:tc>
      </w:tr>
      <w:tr w:rsidR="00CC7345" w:rsidRPr="0026055D" w14:paraId="05DCFC1A" w14:textId="77777777" w:rsidTr="00522BE0">
        <w:trPr>
          <w:trHeight w:val="510"/>
        </w:trPr>
        <w:tc>
          <w:tcPr>
            <w:tcW w:w="340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9408F21" w14:textId="77777777" w:rsidR="00CC7345" w:rsidRPr="0026055D" w:rsidRDefault="00CC7345" w:rsidP="00CC7345">
            <w:pPr>
              <w:spacing w:after="0"/>
            </w:pPr>
            <w:r w:rsidRPr="0026055D">
              <w:t>                SO 31-30-01. 9</w:t>
            </w:r>
          </w:p>
        </w:tc>
        <w:tc>
          <w:tcPr>
            <w:tcW w:w="34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CBFD1B6" w14:textId="77777777" w:rsidR="00CC7345" w:rsidRPr="0026055D" w:rsidRDefault="00CC7345" w:rsidP="00CC7345">
            <w:pPr>
              <w:spacing w:after="0"/>
            </w:pPr>
            <w:r w:rsidRPr="0026055D">
              <w:t xml:space="preserve">Přeložky a ochrana sdělovacích kabelových </w:t>
            </w:r>
            <w:proofErr w:type="gramStart"/>
            <w:r w:rsidRPr="0026055D">
              <w:t>vedení - Vodafone</w:t>
            </w:r>
            <w:proofErr w:type="gramEnd"/>
          </w:p>
        </w:tc>
      </w:tr>
    </w:tbl>
    <w:p w14:paraId="62514299" w14:textId="22FC796C" w:rsidR="00CC7345" w:rsidRPr="00CC7345" w:rsidRDefault="00CC7345" w:rsidP="00CC7345">
      <w:pPr>
        <w:spacing w:after="0"/>
      </w:pPr>
      <w:r w:rsidRPr="0026055D">
        <w:t xml:space="preserve">Můžete i tyto objekty vyjmout z plnění zhotovitele? </w:t>
      </w:r>
    </w:p>
    <w:p w14:paraId="56890C6E" w14:textId="77777777" w:rsidR="00CC7345" w:rsidRDefault="00CC7345" w:rsidP="00CC7345">
      <w:pPr>
        <w:spacing w:after="0"/>
        <w:rPr>
          <w:rFonts w:eastAsia="Calibri" w:cs="Times New Roman"/>
          <w:b/>
          <w:lang w:eastAsia="cs-CZ"/>
        </w:rPr>
      </w:pPr>
    </w:p>
    <w:p w14:paraId="6274E1A3" w14:textId="5E2BEF52" w:rsidR="00CC7345" w:rsidRPr="0073171B" w:rsidRDefault="00CC7345" w:rsidP="00CC7345">
      <w:pPr>
        <w:spacing w:after="0"/>
        <w:rPr>
          <w:rFonts w:eastAsia="Calibri" w:cs="Times New Roman"/>
          <w:b/>
          <w:lang w:eastAsia="cs-CZ"/>
        </w:rPr>
      </w:pPr>
      <w:r w:rsidRPr="0073171B">
        <w:rPr>
          <w:rFonts w:eastAsia="Calibri" w:cs="Times New Roman"/>
          <w:b/>
          <w:lang w:eastAsia="cs-CZ"/>
        </w:rPr>
        <w:t xml:space="preserve">Odpověď: </w:t>
      </w:r>
    </w:p>
    <w:p w14:paraId="3901264C" w14:textId="57569B79" w:rsidR="00CC7345" w:rsidRPr="00BE37CA" w:rsidRDefault="008F2E0D" w:rsidP="00CC7345">
      <w:pPr>
        <w:spacing w:after="0"/>
        <w:rPr>
          <w:rFonts w:eastAsia="Calibri" w:cs="Times New Roman"/>
          <w:bCs/>
          <w:lang w:eastAsia="cs-CZ"/>
        </w:rPr>
      </w:pPr>
      <w:r w:rsidRPr="00BE37CA">
        <w:rPr>
          <w:rFonts w:eastAsia="Calibri" w:cs="Times New Roman"/>
          <w:bCs/>
          <w:lang w:eastAsia="cs-CZ"/>
        </w:rPr>
        <w:t xml:space="preserve">SO 31-30-01.10, SO 31-30-01.2, SO 31-30-01.5, SO 31-30-01.7 a SO 31-30-01.9 budou realizovány jakou součást předmětné zakázky (stavby) a budou uchazečem </w:t>
      </w:r>
      <w:proofErr w:type="spellStart"/>
      <w:r w:rsidRPr="00BE37CA">
        <w:rPr>
          <w:rFonts w:eastAsia="Calibri" w:cs="Times New Roman"/>
          <w:bCs/>
          <w:lang w:eastAsia="cs-CZ"/>
        </w:rPr>
        <w:t>naceněny</w:t>
      </w:r>
      <w:proofErr w:type="spellEnd"/>
      <w:r w:rsidRPr="00BE37CA">
        <w:rPr>
          <w:rFonts w:eastAsia="Calibri" w:cs="Times New Roman"/>
          <w:bCs/>
          <w:lang w:eastAsia="cs-CZ"/>
        </w:rPr>
        <w:t xml:space="preserve"> v nabídce.</w:t>
      </w:r>
    </w:p>
    <w:p w14:paraId="0DBA3FC7" w14:textId="006EB6E7" w:rsidR="00311BEF" w:rsidRPr="00BE37CA" w:rsidRDefault="00311BEF" w:rsidP="00CC7345">
      <w:pPr>
        <w:spacing w:after="0"/>
        <w:rPr>
          <w:rFonts w:eastAsia="Calibri" w:cs="Times New Roman"/>
          <w:bCs/>
          <w:lang w:eastAsia="cs-CZ"/>
        </w:rPr>
      </w:pPr>
      <w:r w:rsidRPr="00BE37CA">
        <w:rPr>
          <w:rFonts w:eastAsia="Calibri" w:cs="Times New Roman"/>
          <w:bCs/>
          <w:lang w:eastAsia="cs-CZ"/>
        </w:rPr>
        <w:t xml:space="preserve">SO 31-30-01.8 </w:t>
      </w:r>
      <w:r w:rsidR="008F2E0D" w:rsidRPr="00BE37CA">
        <w:rPr>
          <w:rFonts w:eastAsia="Calibri" w:cs="Times New Roman"/>
          <w:bCs/>
          <w:lang w:eastAsia="cs-CZ"/>
        </w:rPr>
        <w:t xml:space="preserve">(České radiokomunikace) </w:t>
      </w:r>
      <w:r w:rsidRPr="00BE37CA">
        <w:rPr>
          <w:rFonts w:eastAsia="Calibri" w:cs="Times New Roman"/>
          <w:bCs/>
          <w:lang w:eastAsia="cs-CZ"/>
        </w:rPr>
        <w:t xml:space="preserve">bude </w:t>
      </w:r>
      <w:r w:rsidR="008F2E0D" w:rsidRPr="00BE37CA">
        <w:rPr>
          <w:rFonts w:eastAsia="Calibri" w:cs="Times New Roman"/>
          <w:bCs/>
          <w:lang w:eastAsia="cs-CZ"/>
        </w:rPr>
        <w:t xml:space="preserve">realizován přímo </w:t>
      </w:r>
      <w:r w:rsidRPr="00BE37CA">
        <w:rPr>
          <w:rFonts w:eastAsia="Calibri" w:cs="Times New Roman"/>
          <w:bCs/>
          <w:lang w:eastAsia="cs-CZ"/>
        </w:rPr>
        <w:t>vlastník</w:t>
      </w:r>
      <w:r w:rsidR="008F2E0D" w:rsidRPr="00BE37CA">
        <w:rPr>
          <w:rFonts w:eastAsia="Calibri" w:cs="Times New Roman"/>
          <w:bCs/>
          <w:lang w:eastAsia="cs-CZ"/>
        </w:rPr>
        <w:t xml:space="preserve">em přeložky, přičemž investor hradí náklady na realizaci přímo vlastníkovi přeložky. Uvedený stavební objekt tedy nebude uchazečem </w:t>
      </w:r>
      <w:proofErr w:type="spellStart"/>
      <w:r w:rsidR="008F2E0D" w:rsidRPr="00BE37CA">
        <w:rPr>
          <w:rFonts w:eastAsia="Calibri" w:cs="Times New Roman"/>
          <w:bCs/>
          <w:lang w:eastAsia="cs-CZ"/>
        </w:rPr>
        <w:t>naceňován</w:t>
      </w:r>
      <w:proofErr w:type="spellEnd"/>
      <w:r w:rsidR="008F2E0D" w:rsidRPr="00BE37CA">
        <w:rPr>
          <w:rFonts w:eastAsia="Calibri" w:cs="Times New Roman"/>
          <w:bCs/>
          <w:lang w:eastAsia="cs-CZ"/>
        </w:rPr>
        <w:t>.</w:t>
      </w:r>
    </w:p>
    <w:p w14:paraId="7C2703A7" w14:textId="77777777" w:rsidR="00CC7345" w:rsidRPr="0073171B" w:rsidRDefault="00CC7345" w:rsidP="00CC7345">
      <w:pPr>
        <w:spacing w:after="0"/>
        <w:rPr>
          <w:rFonts w:eastAsia="Calibri" w:cs="Times New Roman"/>
          <w:bCs/>
          <w:color w:val="FF0000"/>
          <w:lang w:eastAsia="cs-CZ"/>
        </w:rPr>
      </w:pPr>
    </w:p>
    <w:p w14:paraId="7FC419E5" w14:textId="77777777" w:rsidR="00CC7345" w:rsidRPr="0073171B" w:rsidRDefault="00CC7345" w:rsidP="00CC7345">
      <w:pPr>
        <w:spacing w:after="0"/>
        <w:rPr>
          <w:rFonts w:eastAsia="Calibri" w:cs="Times New Roman"/>
          <w:bCs/>
          <w:color w:val="FF0000"/>
          <w:lang w:eastAsia="cs-CZ"/>
        </w:rPr>
      </w:pPr>
    </w:p>
    <w:p w14:paraId="21226CB1" w14:textId="2EEB8C58" w:rsidR="00CC7345" w:rsidRPr="0073171B" w:rsidRDefault="00CC7345" w:rsidP="00CC7345">
      <w:pPr>
        <w:spacing w:after="0"/>
        <w:rPr>
          <w:rFonts w:eastAsia="Calibri" w:cs="Times New Roman"/>
          <w:b/>
          <w:lang w:eastAsia="cs-CZ"/>
        </w:rPr>
      </w:pPr>
      <w:r w:rsidRPr="0073171B">
        <w:rPr>
          <w:rFonts w:eastAsia="Calibri" w:cs="Times New Roman"/>
          <w:b/>
          <w:lang w:eastAsia="cs-CZ"/>
        </w:rPr>
        <w:t xml:space="preserve">Dotaz č. </w:t>
      </w:r>
      <w:r>
        <w:rPr>
          <w:rFonts w:eastAsia="Calibri" w:cs="Times New Roman"/>
          <w:b/>
          <w:lang w:eastAsia="cs-CZ"/>
        </w:rPr>
        <w:t>14</w:t>
      </w:r>
      <w:r w:rsidRPr="0073171B">
        <w:rPr>
          <w:rFonts w:eastAsia="Calibri" w:cs="Times New Roman"/>
          <w:b/>
          <w:lang w:eastAsia="cs-CZ"/>
        </w:rPr>
        <w:t>:</w:t>
      </w:r>
    </w:p>
    <w:p w14:paraId="4CE821DC" w14:textId="225D6788" w:rsidR="00CC7345" w:rsidRPr="00CC7345" w:rsidRDefault="00CC7345" w:rsidP="00CC7345">
      <w:pPr>
        <w:spacing w:after="0"/>
        <w:jc w:val="both"/>
      </w:pPr>
      <w:r w:rsidRPr="0026055D">
        <w:t>Dotaz k </w:t>
      </w:r>
      <w:r w:rsidRPr="00CC7345">
        <w:rPr>
          <w:b/>
        </w:rPr>
        <w:t>SO 31-59-</w:t>
      </w:r>
      <w:proofErr w:type="gramStart"/>
      <w:r w:rsidRPr="00CC7345">
        <w:rPr>
          <w:b/>
        </w:rPr>
        <w:t>01</w:t>
      </w:r>
      <w:r w:rsidRPr="0026055D">
        <w:t xml:space="preserve">  Dopravní</w:t>
      </w:r>
      <w:proofErr w:type="gramEnd"/>
      <w:r w:rsidRPr="0026055D">
        <w:t xml:space="preserve"> opatření během stavby. Soupis prací daného objektu obsahuje dočasné vodorovné dopravní značení, neobsahuje však dočasné svislé značení. Chápeme správně, že dočasné svislé dopravní značení chybí v soupise proto, že není předmětem plnění? V případě, že je předmětem plnění, můžete jej doplnit do soupisu např. jako samostatnou položku 1 KPL?</w:t>
      </w:r>
    </w:p>
    <w:p w14:paraId="45EE331E" w14:textId="77777777" w:rsidR="00CC7345" w:rsidRDefault="00CC7345" w:rsidP="00CC7345">
      <w:pPr>
        <w:spacing w:after="0"/>
        <w:rPr>
          <w:rFonts w:eastAsia="Calibri" w:cs="Times New Roman"/>
          <w:b/>
          <w:lang w:eastAsia="cs-CZ"/>
        </w:rPr>
      </w:pPr>
    </w:p>
    <w:p w14:paraId="0067DE80" w14:textId="3B9E60A3" w:rsidR="00CC7345" w:rsidRPr="0073171B" w:rsidRDefault="00CC7345" w:rsidP="00CC7345">
      <w:pPr>
        <w:spacing w:after="0"/>
        <w:rPr>
          <w:rFonts w:eastAsia="Calibri" w:cs="Times New Roman"/>
          <w:b/>
          <w:lang w:eastAsia="cs-CZ"/>
        </w:rPr>
      </w:pPr>
      <w:r w:rsidRPr="0073171B">
        <w:rPr>
          <w:rFonts w:eastAsia="Calibri" w:cs="Times New Roman"/>
          <w:b/>
          <w:lang w:eastAsia="cs-CZ"/>
        </w:rPr>
        <w:t xml:space="preserve">Odpověď: </w:t>
      </w:r>
    </w:p>
    <w:p w14:paraId="54604E92" w14:textId="689C3269" w:rsidR="008421A8" w:rsidRPr="00BE37CA" w:rsidRDefault="00133A10" w:rsidP="00133A10">
      <w:pPr>
        <w:spacing w:after="0"/>
        <w:jc w:val="both"/>
        <w:rPr>
          <w:rFonts w:asciiTheme="majorHAnsi" w:eastAsia="Times New Roman" w:hAnsiTheme="majorHAnsi" w:cs="Times New Roman"/>
          <w:lang w:eastAsia="cs-CZ"/>
        </w:rPr>
      </w:pPr>
      <w:r w:rsidRPr="00BE37CA">
        <w:rPr>
          <w:rFonts w:asciiTheme="majorHAnsi" w:eastAsia="Times New Roman" w:hAnsiTheme="majorHAnsi" w:cs="Times New Roman"/>
          <w:lang w:eastAsia="cs-CZ"/>
        </w:rPr>
        <w:t xml:space="preserve">Dočasné vodorovné a svislé dopravní značení je </w:t>
      </w:r>
      <w:r w:rsidR="007A53B5" w:rsidRPr="00BE37CA">
        <w:rPr>
          <w:rFonts w:asciiTheme="majorHAnsi" w:eastAsia="Times New Roman" w:hAnsiTheme="majorHAnsi" w:cs="Times New Roman"/>
          <w:lang w:eastAsia="cs-CZ"/>
        </w:rPr>
        <w:t xml:space="preserve">součástí předmětu </w:t>
      </w:r>
      <w:r w:rsidRPr="00BE37CA">
        <w:rPr>
          <w:rFonts w:asciiTheme="majorHAnsi" w:eastAsia="Times New Roman" w:hAnsiTheme="majorHAnsi" w:cs="Times New Roman"/>
          <w:lang w:eastAsia="cs-CZ"/>
        </w:rPr>
        <w:t xml:space="preserve">plnění </w:t>
      </w:r>
      <w:r w:rsidR="007A53B5" w:rsidRPr="00BE37CA">
        <w:rPr>
          <w:rFonts w:asciiTheme="majorHAnsi" w:eastAsia="Times New Roman" w:hAnsiTheme="majorHAnsi" w:cs="Times New Roman"/>
          <w:lang w:eastAsia="cs-CZ"/>
        </w:rPr>
        <w:t>zakázky</w:t>
      </w:r>
      <w:r w:rsidRPr="00BE37CA">
        <w:rPr>
          <w:rFonts w:asciiTheme="majorHAnsi" w:eastAsia="Times New Roman" w:hAnsiTheme="majorHAnsi" w:cs="Times New Roman"/>
          <w:lang w:eastAsia="cs-CZ"/>
        </w:rPr>
        <w:t>. Do soupisu prací SO 31-59-01 je doplněna položka "DOČASNÉ DOPRAVNÍ ZNAČENÍ A ZAŘÍZENÍ". (viz digitální příloha – soubor XDC_ZST-Brno-Zidenice_zm01_20250110.zip)</w:t>
      </w:r>
    </w:p>
    <w:p w14:paraId="2D640DD4" w14:textId="11FFB54D" w:rsidR="008421A8" w:rsidRDefault="008421A8" w:rsidP="00BD5319">
      <w:pPr>
        <w:spacing w:after="0" w:line="240" w:lineRule="auto"/>
        <w:rPr>
          <w:rFonts w:asciiTheme="majorHAnsi" w:eastAsia="Times New Roman" w:hAnsiTheme="majorHAnsi" w:cs="Times New Roman"/>
          <w:b/>
          <w:color w:val="FF0000"/>
          <w:lang w:eastAsia="cs-CZ"/>
        </w:rPr>
      </w:pPr>
    </w:p>
    <w:p w14:paraId="1A3B17B4" w14:textId="31044D47" w:rsidR="00BE37CA" w:rsidRDefault="00BE37CA" w:rsidP="00BD5319">
      <w:pPr>
        <w:spacing w:after="0" w:line="240" w:lineRule="auto"/>
        <w:rPr>
          <w:rFonts w:asciiTheme="majorHAnsi" w:eastAsia="Times New Roman" w:hAnsiTheme="majorHAnsi" w:cs="Times New Roman"/>
          <w:b/>
          <w:color w:val="FF0000"/>
          <w:lang w:eastAsia="cs-CZ"/>
        </w:rPr>
      </w:pPr>
    </w:p>
    <w:p w14:paraId="0D155F42" w14:textId="77777777" w:rsidR="004A1F2B" w:rsidRPr="00E46DE0" w:rsidRDefault="004A1F2B" w:rsidP="00BD5319">
      <w:pPr>
        <w:spacing w:after="0" w:line="240" w:lineRule="auto"/>
        <w:rPr>
          <w:rFonts w:asciiTheme="majorHAnsi" w:eastAsia="Times New Roman" w:hAnsiTheme="majorHAnsi" w:cs="Times New Roman"/>
          <w:b/>
          <w:color w:val="FF0000"/>
          <w:lang w:eastAsia="cs-CZ"/>
        </w:rPr>
      </w:pPr>
    </w:p>
    <w:p w14:paraId="36353B3D" w14:textId="1AED7FB5" w:rsidR="00664163" w:rsidRDefault="00664163" w:rsidP="004A1F2B">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w:t>
      </w:r>
      <w:proofErr w:type="spellStart"/>
      <w:r w:rsidRPr="00C87717">
        <w:rPr>
          <w:rFonts w:eastAsia="Times New Roman" w:cs="Times New Roman"/>
          <w:lang w:eastAsia="cs-CZ"/>
        </w:rPr>
        <w:t>ust</w:t>
      </w:r>
      <w:proofErr w:type="spellEnd"/>
      <w:r w:rsidRPr="00C87717">
        <w:rPr>
          <w:rFonts w:eastAsia="Times New Roman" w:cs="Times New Roman"/>
          <w:lang w:eastAsia="cs-CZ"/>
        </w:rPr>
        <w:t xml:space="preserve">. § 99 odst. 2 ZZVZ a prodlužuje lhůtu pro podání nabídek ze </w:t>
      </w:r>
      <w:r w:rsidRPr="004A1F2B">
        <w:rPr>
          <w:rFonts w:eastAsia="Times New Roman" w:cs="Times New Roman"/>
          <w:lang w:eastAsia="cs-CZ"/>
        </w:rPr>
        <w:t xml:space="preserve">dne </w:t>
      </w:r>
      <w:r w:rsidR="004A1F2B" w:rsidRPr="004A1F2B">
        <w:rPr>
          <w:rFonts w:eastAsia="Times New Roman" w:cs="Times New Roman"/>
          <w:lang w:eastAsia="cs-CZ"/>
        </w:rPr>
        <w:t>27. 1. 2025</w:t>
      </w:r>
      <w:r w:rsidRPr="004A1F2B">
        <w:rPr>
          <w:rFonts w:eastAsia="Times New Roman" w:cs="Times New Roman"/>
          <w:lang w:eastAsia="cs-CZ"/>
        </w:rPr>
        <w:t xml:space="preserve"> na den </w:t>
      </w:r>
      <w:r w:rsidR="004A1F2B" w:rsidRPr="004A1F2B">
        <w:rPr>
          <w:rFonts w:eastAsia="Times New Roman" w:cs="Times New Roman"/>
          <w:b/>
          <w:lang w:eastAsia="cs-CZ"/>
        </w:rPr>
        <w:t>28. 1. 2025</w:t>
      </w:r>
      <w:r w:rsidRPr="004A1F2B">
        <w:rPr>
          <w:rFonts w:eastAsia="Times New Roman" w:cs="Times New Roman"/>
          <w:lang w:eastAsia="cs-CZ"/>
        </w:rPr>
        <w:t>.</w:t>
      </w:r>
    </w:p>
    <w:p w14:paraId="0DDD16C5" w14:textId="07F41EE0" w:rsidR="00273CE2" w:rsidRDefault="00273CE2" w:rsidP="00842C9B">
      <w:pPr>
        <w:pStyle w:val="Odstavecseseznamem"/>
        <w:spacing w:after="0" w:line="240" w:lineRule="auto"/>
        <w:ind w:left="0"/>
        <w:jc w:val="both"/>
        <w:rPr>
          <w:rFonts w:eastAsia="Times New Roman" w:cs="Times New Roman"/>
          <w:lang w:eastAsia="cs-CZ"/>
        </w:rPr>
      </w:pPr>
    </w:p>
    <w:p w14:paraId="3B513E2F" w14:textId="77777777" w:rsidR="004A1F2B" w:rsidRDefault="004A1F2B" w:rsidP="00842C9B">
      <w:pPr>
        <w:pStyle w:val="Odstavecseseznamem"/>
        <w:spacing w:after="0" w:line="240" w:lineRule="auto"/>
        <w:ind w:left="0"/>
        <w:jc w:val="both"/>
        <w:rPr>
          <w:rFonts w:eastAsia="Times New Roman" w:cs="Times New Roman"/>
          <w:lang w:eastAsia="cs-CZ"/>
        </w:rPr>
      </w:pPr>
    </w:p>
    <w:p w14:paraId="6B8BD68C" w14:textId="77777777" w:rsidR="00664163" w:rsidRDefault="00664163" w:rsidP="00664163">
      <w:pPr>
        <w:spacing w:after="0" w:line="240" w:lineRule="auto"/>
        <w:rPr>
          <w:rFonts w:eastAsia="Times New Roman" w:cs="Times New Roman"/>
          <w:b/>
          <w:lang w:eastAsia="cs-CZ"/>
        </w:rPr>
      </w:pPr>
    </w:p>
    <w:p w14:paraId="0FE4E137" w14:textId="26FA9997" w:rsidR="00664163" w:rsidRPr="00C6581F" w:rsidRDefault="00664163" w:rsidP="00C6581F">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sidR="007F626E">
        <w:rPr>
          <w:rFonts w:eastAsia="Times New Roman" w:cs="Times New Roman"/>
          <w:lang w:eastAsia="cs-CZ"/>
        </w:rPr>
        <w:t>Opravný f</w:t>
      </w:r>
      <w:r w:rsidRPr="00BD5319">
        <w:rPr>
          <w:rFonts w:eastAsia="Times New Roman" w:cs="Times New Roman"/>
          <w:lang w:eastAsia="cs-CZ"/>
        </w:rPr>
        <w:t xml:space="preserve">ormulář Oznámení </w:t>
      </w:r>
      <w:r w:rsidR="007F626E">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1"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00512DD5" w:rsidRPr="00512DD5">
        <w:rPr>
          <w:rFonts w:eastAsia="Times New Roman" w:cs="Times New Roman"/>
          <w:lang w:eastAsia="cs-CZ"/>
        </w:rPr>
        <w:t>Z2024-063449</w:t>
      </w:r>
      <w:r w:rsidRPr="00BD5319">
        <w:rPr>
          <w:rFonts w:eastAsia="Times New Roman" w:cs="Times New Roman"/>
          <w:lang w:eastAsia="cs-CZ"/>
        </w:rPr>
        <w:t>). Změny se týkají těchto ustanovení</w:t>
      </w:r>
      <w:r w:rsidR="00C6581F">
        <w:rPr>
          <w:rFonts w:eastAsia="Times New Roman" w:cs="Times New Roman"/>
          <w:lang w:eastAsia="cs-CZ"/>
        </w:rPr>
        <w:t>:</w:t>
      </w:r>
    </w:p>
    <w:p w14:paraId="7118AB88" w14:textId="5ADAD774" w:rsidR="00664163" w:rsidRPr="00BD5319" w:rsidRDefault="00664163" w:rsidP="00664163">
      <w:pPr>
        <w:spacing w:after="0" w:line="240" w:lineRule="auto"/>
        <w:rPr>
          <w:rFonts w:eastAsia="Times New Roman" w:cs="Times New Roman"/>
          <w:b/>
          <w:lang w:eastAsia="cs-CZ"/>
        </w:rPr>
      </w:pPr>
    </w:p>
    <w:p w14:paraId="5A7982EE" w14:textId="36CB5D81" w:rsidR="00664163" w:rsidRDefault="00664163" w:rsidP="00664163">
      <w:pPr>
        <w:spacing w:after="0" w:line="240" w:lineRule="auto"/>
        <w:rPr>
          <w:rFonts w:eastAsia="Times New Roman" w:cs="Times New Roman"/>
          <w:lang w:eastAsia="cs-CZ"/>
        </w:rPr>
      </w:pPr>
    </w:p>
    <w:p w14:paraId="32CEDBD5" w14:textId="77777777" w:rsidR="004A1F2B" w:rsidRDefault="004A1F2B" w:rsidP="00664163">
      <w:pPr>
        <w:spacing w:after="0" w:line="240" w:lineRule="auto"/>
        <w:rPr>
          <w:rFonts w:eastAsia="Times New Roman" w:cs="Times New Roman"/>
          <w:lang w:eastAsia="cs-CZ"/>
        </w:rPr>
      </w:pPr>
    </w:p>
    <w:p w14:paraId="6CE5A60D" w14:textId="77777777" w:rsidR="007F626E"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412028A6" w14:textId="77777777" w:rsidR="007F626E" w:rsidRDefault="007F626E" w:rsidP="007F626E">
      <w:pPr>
        <w:spacing w:after="0" w:line="240" w:lineRule="auto"/>
        <w:rPr>
          <w:rFonts w:eastAsia="Times New Roman" w:cs="Times New Roman"/>
          <w:b/>
          <w:lang w:eastAsia="cs-CZ"/>
        </w:rPr>
      </w:pPr>
    </w:p>
    <w:p w14:paraId="09C43FC0" w14:textId="77777777" w:rsidR="007F626E" w:rsidRPr="00BD5319"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48CE5B40" w14:textId="07A71CB0" w:rsidR="007F626E" w:rsidRPr="009C7B39" w:rsidRDefault="007F626E" w:rsidP="007F626E">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w:t>
      </w:r>
      <w:r w:rsidRPr="004A1F2B">
        <w:rPr>
          <w:rFonts w:eastAsia="Times New Roman" w:cs="Times New Roman"/>
          <w:lang w:eastAsia="cs-CZ"/>
        </w:rPr>
        <w:t xml:space="preserve">datum </w:t>
      </w:r>
      <w:r w:rsidR="004A1F2B" w:rsidRPr="004A1F2B">
        <w:rPr>
          <w:rFonts w:eastAsia="Times New Roman" w:cs="Times New Roman"/>
          <w:lang w:eastAsia="cs-CZ"/>
        </w:rPr>
        <w:t>27.1.2025</w:t>
      </w:r>
      <w:r w:rsidRPr="004A1F2B">
        <w:rPr>
          <w:rFonts w:eastAsia="Times New Roman" w:cs="Times New Roman"/>
          <w:lang w:eastAsia="cs-CZ"/>
        </w:rPr>
        <w:t xml:space="preserve"> a </w:t>
      </w:r>
      <w:r w:rsidRPr="004A1F2B">
        <w:rPr>
          <w:rFonts w:eastAsia="Times New Roman" w:cs="Times New Roman"/>
          <w:color w:val="000000" w:themeColor="text1"/>
          <w:lang w:eastAsia="cs-CZ"/>
        </w:rPr>
        <w:t xml:space="preserve">nahrazujeme datem </w:t>
      </w:r>
      <w:r w:rsidR="004A1F2B" w:rsidRPr="004A1F2B">
        <w:rPr>
          <w:rFonts w:eastAsia="Times New Roman" w:cs="Times New Roman"/>
          <w:b/>
          <w:bCs/>
          <w:color w:val="000000" w:themeColor="text1"/>
          <w:lang w:eastAsia="cs-CZ"/>
        </w:rPr>
        <w:t>28.1.2025</w:t>
      </w:r>
      <w:r w:rsidRPr="004A1F2B">
        <w:rPr>
          <w:rFonts w:eastAsia="Times New Roman" w:cs="Times New Roman"/>
          <w:color w:val="000000" w:themeColor="text1"/>
          <w:lang w:eastAsia="cs-CZ"/>
        </w:rPr>
        <w:t>.</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E37CA" w:rsidRDefault="00664163" w:rsidP="00664163">
      <w:pPr>
        <w:tabs>
          <w:tab w:val="center" w:pos="7371"/>
        </w:tabs>
        <w:spacing w:after="0" w:line="240" w:lineRule="auto"/>
        <w:rPr>
          <w:rFonts w:eastAsia="Calibri" w:cs="Times New Roman"/>
          <w:b/>
          <w:bCs/>
          <w:lang w:eastAsia="cs-CZ"/>
        </w:rPr>
      </w:pPr>
    </w:p>
    <w:p w14:paraId="35D7DDE8" w14:textId="77777777" w:rsidR="00664163" w:rsidRPr="00BE37CA" w:rsidRDefault="00664163" w:rsidP="00664163">
      <w:pPr>
        <w:tabs>
          <w:tab w:val="center" w:pos="7371"/>
        </w:tabs>
        <w:spacing w:after="0" w:line="240" w:lineRule="auto"/>
        <w:rPr>
          <w:rFonts w:eastAsia="Calibri" w:cs="Times New Roman"/>
          <w:b/>
          <w:bCs/>
          <w:lang w:eastAsia="cs-CZ"/>
        </w:rPr>
      </w:pPr>
      <w:r w:rsidRPr="00BE37CA">
        <w:rPr>
          <w:rFonts w:eastAsia="Calibri" w:cs="Times New Roman"/>
          <w:b/>
          <w:bCs/>
          <w:lang w:eastAsia="cs-CZ"/>
        </w:rPr>
        <w:lastRenderedPageBreak/>
        <w:t xml:space="preserve">Příloha: </w:t>
      </w:r>
      <w:r w:rsidRPr="00BE37CA">
        <w:rPr>
          <w:rFonts w:eastAsia="Calibri" w:cs="Times New Roman"/>
          <w:bCs/>
          <w:lang w:eastAsia="cs-CZ"/>
        </w:rPr>
        <w:fldChar w:fldCharType="begin">
          <w:ffData>
            <w:name w:val="Text1"/>
            <w:enabled/>
            <w:calcOnExit w:val="0"/>
            <w:textInput>
              <w:type w:val="date"/>
              <w:format w:val="d.M.yyyy"/>
            </w:textInput>
          </w:ffData>
        </w:fldChar>
      </w:r>
      <w:r w:rsidRPr="00BE37CA">
        <w:rPr>
          <w:rFonts w:eastAsia="Calibri" w:cs="Times New Roman"/>
          <w:bCs/>
          <w:lang w:eastAsia="cs-CZ"/>
        </w:rPr>
        <w:instrText xml:space="preserve"> FORMTEXT </w:instrText>
      </w:r>
      <w:r w:rsidRPr="00BE37CA">
        <w:rPr>
          <w:rFonts w:eastAsia="Calibri" w:cs="Times New Roman"/>
          <w:bCs/>
          <w:lang w:eastAsia="cs-CZ"/>
        </w:rPr>
      </w:r>
      <w:r w:rsidRPr="00BE37CA">
        <w:rPr>
          <w:rFonts w:eastAsia="Calibri" w:cs="Times New Roman"/>
          <w:bCs/>
          <w:lang w:eastAsia="cs-CZ"/>
        </w:rPr>
        <w:fldChar w:fldCharType="separate"/>
      </w:r>
      <w:r w:rsidRPr="00BE37CA">
        <w:rPr>
          <w:rFonts w:eastAsia="Calibri" w:cs="Times New Roman"/>
          <w:bCs/>
          <w:lang w:eastAsia="cs-CZ"/>
        </w:rPr>
        <w:t> </w:t>
      </w:r>
      <w:r w:rsidRPr="00BE37CA">
        <w:rPr>
          <w:rFonts w:eastAsia="Calibri" w:cs="Times New Roman"/>
          <w:bCs/>
          <w:lang w:eastAsia="cs-CZ"/>
        </w:rPr>
        <w:t> </w:t>
      </w:r>
      <w:r w:rsidRPr="00BE37CA">
        <w:rPr>
          <w:rFonts w:eastAsia="Calibri" w:cs="Times New Roman"/>
          <w:bCs/>
          <w:lang w:eastAsia="cs-CZ"/>
        </w:rPr>
        <w:t> </w:t>
      </w:r>
      <w:r w:rsidRPr="00BE37CA">
        <w:rPr>
          <w:rFonts w:eastAsia="Calibri" w:cs="Times New Roman"/>
          <w:bCs/>
          <w:lang w:eastAsia="cs-CZ"/>
        </w:rPr>
        <w:t> </w:t>
      </w:r>
      <w:r w:rsidRPr="00BE37CA">
        <w:rPr>
          <w:rFonts w:eastAsia="Calibri" w:cs="Times New Roman"/>
          <w:bCs/>
          <w:lang w:eastAsia="cs-CZ"/>
        </w:rPr>
        <w:t> </w:t>
      </w:r>
      <w:r w:rsidRPr="00BE37CA">
        <w:rPr>
          <w:rFonts w:eastAsia="Calibri" w:cs="Times New Roman"/>
          <w:bCs/>
          <w:lang w:eastAsia="cs-CZ"/>
        </w:rPr>
        <w:fldChar w:fldCharType="end"/>
      </w:r>
    </w:p>
    <w:p w14:paraId="3568D690" w14:textId="72750BD6" w:rsidR="00664163" w:rsidRDefault="004A1F2B" w:rsidP="00664163">
      <w:pPr>
        <w:spacing w:after="0" w:line="240" w:lineRule="auto"/>
        <w:jc w:val="both"/>
        <w:rPr>
          <w:rFonts w:eastAsia="Calibri" w:cs="Times New Roman"/>
          <w:lang w:eastAsia="cs-CZ"/>
        </w:rPr>
      </w:pPr>
      <w:r w:rsidRPr="004A1F2B">
        <w:rPr>
          <w:rFonts w:eastAsia="Calibri" w:cs="Times New Roman"/>
          <w:lang w:eastAsia="cs-CZ"/>
        </w:rPr>
        <w:t>XDC_ZST-Brno-Zidenice_zm01_20250110</w:t>
      </w:r>
      <w:r>
        <w:rPr>
          <w:rFonts w:eastAsia="Calibri" w:cs="Times New Roman"/>
          <w:lang w:eastAsia="cs-CZ"/>
        </w:rPr>
        <w:t>.xml</w:t>
      </w:r>
    </w:p>
    <w:p w14:paraId="0F54039C" w14:textId="03DF4DA8" w:rsidR="004A1F2B" w:rsidRPr="00BE37CA" w:rsidRDefault="004A1F2B" w:rsidP="00664163">
      <w:pPr>
        <w:spacing w:after="0" w:line="240" w:lineRule="auto"/>
        <w:jc w:val="both"/>
        <w:rPr>
          <w:rFonts w:eastAsia="Calibri" w:cs="Times New Roman"/>
          <w:lang w:eastAsia="cs-CZ"/>
        </w:rPr>
      </w:pPr>
      <w:r w:rsidRPr="004A1F2B">
        <w:rPr>
          <w:rFonts w:eastAsia="Calibri" w:cs="Times New Roman"/>
          <w:lang w:eastAsia="cs-CZ"/>
        </w:rPr>
        <w:t>XLS_ZST-Brno-Zidenice_zm01_20250110</w:t>
      </w:r>
      <w:r>
        <w:rPr>
          <w:rFonts w:eastAsia="Calibri" w:cs="Times New Roman"/>
          <w:lang w:eastAsia="cs-CZ"/>
        </w:rPr>
        <w:t>.xlsx</w:t>
      </w:r>
    </w:p>
    <w:p w14:paraId="11FC1E85" w14:textId="77777777" w:rsidR="00664163" w:rsidRPr="00BE37CA" w:rsidRDefault="00664163" w:rsidP="00664163">
      <w:pPr>
        <w:spacing w:after="0" w:line="240" w:lineRule="auto"/>
        <w:jc w:val="both"/>
        <w:rPr>
          <w:rFonts w:eastAsia="Calibri" w:cs="Times New Roman"/>
          <w:lang w:eastAsia="cs-CZ"/>
        </w:rPr>
      </w:pPr>
    </w:p>
    <w:p w14:paraId="1C2F0DE1" w14:textId="77777777" w:rsidR="004A1F2B" w:rsidRDefault="004A1F2B" w:rsidP="00664163">
      <w:pPr>
        <w:spacing w:after="0" w:line="240" w:lineRule="auto"/>
        <w:jc w:val="both"/>
        <w:rPr>
          <w:rFonts w:eastAsia="Calibri" w:cs="Times New Roman"/>
          <w:lang w:eastAsia="cs-CZ"/>
        </w:rPr>
      </w:pPr>
    </w:p>
    <w:p w14:paraId="102B7D61" w14:textId="44D4362C" w:rsidR="00664163" w:rsidRPr="00BE37CA" w:rsidRDefault="00664163" w:rsidP="00664163">
      <w:pPr>
        <w:spacing w:after="0" w:line="240" w:lineRule="auto"/>
        <w:jc w:val="both"/>
        <w:rPr>
          <w:rFonts w:eastAsia="Calibri" w:cs="Times New Roman"/>
          <w:lang w:eastAsia="cs-CZ"/>
        </w:rPr>
      </w:pPr>
      <w:r w:rsidRPr="00BE37CA">
        <w:rPr>
          <w:rFonts w:eastAsia="Calibri" w:cs="Times New Roman"/>
          <w:lang w:eastAsia="cs-CZ"/>
        </w:rPr>
        <w:t xml:space="preserve">V Olomouci dne </w:t>
      </w:r>
      <w:r w:rsidR="00BE37CA">
        <w:rPr>
          <w:rFonts w:eastAsia="Calibri" w:cs="Times New Roman"/>
          <w:lang w:eastAsia="cs-CZ"/>
        </w:rPr>
        <w:t>10. 1. 2025</w:t>
      </w:r>
    </w:p>
    <w:p w14:paraId="6F75BA64" w14:textId="77777777" w:rsidR="00664163" w:rsidRPr="00BE37CA" w:rsidRDefault="00664163" w:rsidP="00664163">
      <w:pPr>
        <w:spacing w:after="0" w:line="240" w:lineRule="auto"/>
        <w:jc w:val="both"/>
        <w:rPr>
          <w:rFonts w:eastAsia="Calibri" w:cs="Times New Roman"/>
          <w:lang w:eastAsia="cs-CZ"/>
        </w:rPr>
      </w:pPr>
    </w:p>
    <w:p w14:paraId="127C8B76" w14:textId="77777777" w:rsidR="00664163" w:rsidRPr="00BE37CA" w:rsidRDefault="00664163" w:rsidP="00664163">
      <w:pPr>
        <w:spacing w:after="0" w:line="240" w:lineRule="auto"/>
        <w:jc w:val="both"/>
        <w:rPr>
          <w:rFonts w:eastAsia="Calibri" w:cs="Times New Roman"/>
          <w:lang w:eastAsia="cs-CZ"/>
        </w:rPr>
      </w:pPr>
    </w:p>
    <w:p w14:paraId="4EFEEE88" w14:textId="13A9BCAF" w:rsidR="00664163" w:rsidRDefault="00664163" w:rsidP="00664163">
      <w:pPr>
        <w:spacing w:after="0" w:line="240" w:lineRule="auto"/>
        <w:rPr>
          <w:rFonts w:eastAsia="Calibri" w:cs="Times New Roman"/>
          <w:b/>
          <w:bCs/>
          <w:lang w:eastAsia="cs-CZ"/>
        </w:rPr>
      </w:pPr>
    </w:p>
    <w:p w14:paraId="71B8518C" w14:textId="77777777" w:rsidR="00BE37CA" w:rsidRPr="00BE37CA" w:rsidRDefault="00BE37CA" w:rsidP="00664163">
      <w:pPr>
        <w:spacing w:after="0" w:line="240" w:lineRule="auto"/>
        <w:rPr>
          <w:rFonts w:eastAsia="Calibri" w:cs="Times New Roman"/>
          <w:b/>
          <w:bCs/>
          <w:lang w:eastAsia="cs-CZ"/>
        </w:rPr>
      </w:pPr>
    </w:p>
    <w:p w14:paraId="5586027C" w14:textId="77777777" w:rsidR="00664163" w:rsidRPr="00BE37CA" w:rsidRDefault="00664163" w:rsidP="00664163">
      <w:pPr>
        <w:spacing w:after="0" w:line="240" w:lineRule="auto"/>
        <w:rPr>
          <w:rFonts w:eastAsia="Calibri" w:cs="Times New Roman"/>
          <w:b/>
          <w:bCs/>
          <w:lang w:eastAsia="cs-CZ"/>
        </w:rPr>
      </w:pPr>
    </w:p>
    <w:p w14:paraId="69F1990E" w14:textId="77777777" w:rsidR="00664163" w:rsidRPr="00BE37CA" w:rsidRDefault="00664163" w:rsidP="00664163">
      <w:pPr>
        <w:spacing w:after="0" w:line="240" w:lineRule="auto"/>
        <w:rPr>
          <w:rFonts w:eastAsia="Times New Roman" w:cs="Times New Roman"/>
          <w:b/>
          <w:lang w:eastAsia="cs-CZ"/>
        </w:rPr>
      </w:pPr>
      <w:r w:rsidRPr="00BE37CA">
        <w:rPr>
          <w:rFonts w:eastAsia="Times New Roman" w:cs="Times New Roman"/>
          <w:b/>
          <w:bCs/>
          <w:lang w:eastAsia="cs-CZ"/>
        </w:rPr>
        <w:t>Ing. Miroslav Bocák</w:t>
      </w:r>
      <w:r w:rsidRPr="00BE37CA">
        <w:rPr>
          <w:rFonts w:eastAsia="Times New Roman" w:cs="Times New Roman"/>
          <w:b/>
          <w:lang w:eastAsia="cs-CZ"/>
        </w:rPr>
        <w:t xml:space="preserve"> </w:t>
      </w:r>
    </w:p>
    <w:p w14:paraId="74899A34" w14:textId="77777777" w:rsidR="00664163" w:rsidRPr="00BE37CA" w:rsidRDefault="00664163" w:rsidP="00664163">
      <w:pPr>
        <w:tabs>
          <w:tab w:val="center" w:pos="7300"/>
          <w:tab w:val="right" w:pos="9072"/>
        </w:tabs>
        <w:spacing w:after="0" w:line="240" w:lineRule="auto"/>
        <w:rPr>
          <w:rFonts w:eastAsia="Times New Roman" w:cs="Times New Roman"/>
          <w:lang w:eastAsia="cs-CZ"/>
        </w:rPr>
      </w:pPr>
      <w:r w:rsidRPr="00BE37CA">
        <w:rPr>
          <w:rFonts w:eastAsia="Times New Roman" w:cs="Times New Roman"/>
          <w:lang w:eastAsia="cs-CZ"/>
        </w:rPr>
        <w:t>ředitel organizační jednotky</w:t>
      </w:r>
      <w:r w:rsidRPr="00BE37CA">
        <w:rPr>
          <w:rFonts w:eastAsia="Times New Roman" w:cs="Times New Roman"/>
          <w:lang w:eastAsia="cs-CZ"/>
        </w:rPr>
        <w:tab/>
      </w:r>
    </w:p>
    <w:p w14:paraId="5DEDC136" w14:textId="77777777" w:rsidR="00664163" w:rsidRPr="00BE37CA" w:rsidRDefault="00664163" w:rsidP="00664163">
      <w:pPr>
        <w:tabs>
          <w:tab w:val="center" w:pos="7300"/>
          <w:tab w:val="right" w:pos="9072"/>
        </w:tabs>
        <w:spacing w:after="0" w:line="240" w:lineRule="auto"/>
        <w:rPr>
          <w:rFonts w:eastAsia="Times New Roman" w:cs="Times New Roman"/>
          <w:lang w:eastAsia="cs-CZ"/>
        </w:rPr>
      </w:pPr>
      <w:r w:rsidRPr="00BE37CA">
        <w:rPr>
          <w:rFonts w:eastAsia="Times New Roman" w:cs="Times New Roman"/>
          <w:lang w:eastAsia="cs-CZ"/>
        </w:rPr>
        <w:t>Stavební správa východ</w:t>
      </w:r>
    </w:p>
    <w:p w14:paraId="051A2C6E" w14:textId="77777777" w:rsidR="00664163" w:rsidRPr="00BE37CA" w:rsidRDefault="00664163" w:rsidP="00664163">
      <w:pPr>
        <w:spacing w:after="0" w:line="240" w:lineRule="auto"/>
        <w:rPr>
          <w:rFonts w:eastAsia="Times New Roman" w:cs="Times New Roman"/>
          <w:lang w:eastAsia="cs-CZ"/>
        </w:rPr>
      </w:pPr>
      <w:r w:rsidRPr="00BE37CA">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8421A8">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217B4A" w16cex:dateUtc="2025-01-09T12:38:00Z"/>
  <w16cex:commentExtensible w16cex:durableId="76B26ED7" w16cex:dateUtc="2025-01-09T12:40:00Z"/>
  <w16cex:commentExtensible w16cex:durableId="65AF410C" w16cex:dateUtc="2025-01-09T12:43:00Z"/>
  <w16cex:commentExtensible w16cex:durableId="603E1A37" w16cex:dateUtc="2025-01-09T12:47:00Z"/>
  <w16cex:commentExtensible w16cex:durableId="721E3328" w16cex:dateUtc="2025-01-09T12: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B4005" w14:textId="77777777" w:rsidR="00226350" w:rsidRDefault="00226350" w:rsidP="00962258">
      <w:pPr>
        <w:spacing w:after="0" w:line="240" w:lineRule="auto"/>
      </w:pPr>
      <w:r>
        <w:separator/>
      </w:r>
    </w:p>
  </w:endnote>
  <w:endnote w:type="continuationSeparator" w:id="0">
    <w:p w14:paraId="1426FC1D" w14:textId="77777777" w:rsidR="00226350" w:rsidRDefault="002263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536D59A4"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493D">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7493D">
            <w:rPr>
              <w:rStyle w:val="slostrnky"/>
              <w:noProof/>
            </w:rPr>
            <w:t>4</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val="en-US"/>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val="en-US"/>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12FE4E72"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493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7493D">
            <w:rPr>
              <w:rStyle w:val="slostrnky"/>
              <w:noProof/>
            </w:rPr>
            <w:t>4</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val="en-US"/>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val="en-US"/>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1E9B9" w14:textId="77777777" w:rsidR="00226350" w:rsidRDefault="00226350" w:rsidP="00962258">
      <w:pPr>
        <w:spacing w:after="0" w:line="240" w:lineRule="auto"/>
      </w:pPr>
      <w:r>
        <w:separator/>
      </w:r>
    </w:p>
  </w:footnote>
  <w:footnote w:type="continuationSeparator" w:id="0">
    <w:p w14:paraId="52C2840E" w14:textId="77777777" w:rsidR="00226350" w:rsidRDefault="002263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val="en-US"/>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val="en-US"/>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val="en-US"/>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6"/>
  </w:num>
  <w:num w:numId="5">
    <w:abstractNumId w:val="0"/>
  </w:num>
  <w:num w:numId="6">
    <w:abstractNumId w:val="5"/>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536E2"/>
    <w:rsid w:val="00066116"/>
    <w:rsid w:val="00072C1E"/>
    <w:rsid w:val="00097042"/>
    <w:rsid w:val="000B3A82"/>
    <w:rsid w:val="000B6C7E"/>
    <w:rsid w:val="000B7907"/>
    <w:rsid w:val="000C0429"/>
    <w:rsid w:val="000C45E8"/>
    <w:rsid w:val="000E4328"/>
    <w:rsid w:val="00114472"/>
    <w:rsid w:val="001267E4"/>
    <w:rsid w:val="00133A10"/>
    <w:rsid w:val="00170EC5"/>
    <w:rsid w:val="001747C1"/>
    <w:rsid w:val="0017493D"/>
    <w:rsid w:val="0018596A"/>
    <w:rsid w:val="001A76EF"/>
    <w:rsid w:val="001B2AC4"/>
    <w:rsid w:val="001B69C2"/>
    <w:rsid w:val="001C4DA0"/>
    <w:rsid w:val="00207DF5"/>
    <w:rsid w:val="00226350"/>
    <w:rsid w:val="00267369"/>
    <w:rsid w:val="0026785D"/>
    <w:rsid w:val="00273CE2"/>
    <w:rsid w:val="00291C80"/>
    <w:rsid w:val="00296D39"/>
    <w:rsid w:val="002A59FE"/>
    <w:rsid w:val="002C31BF"/>
    <w:rsid w:val="002E0CD7"/>
    <w:rsid w:val="002F026B"/>
    <w:rsid w:val="002F450F"/>
    <w:rsid w:val="00311BEF"/>
    <w:rsid w:val="0033209D"/>
    <w:rsid w:val="00335122"/>
    <w:rsid w:val="00335732"/>
    <w:rsid w:val="00357BC6"/>
    <w:rsid w:val="0037111D"/>
    <w:rsid w:val="003756B9"/>
    <w:rsid w:val="003956C6"/>
    <w:rsid w:val="003E6B9A"/>
    <w:rsid w:val="003E75CE"/>
    <w:rsid w:val="0041380F"/>
    <w:rsid w:val="00434F0F"/>
    <w:rsid w:val="00450F07"/>
    <w:rsid w:val="00453CD3"/>
    <w:rsid w:val="00455BC7"/>
    <w:rsid w:val="00460660"/>
    <w:rsid w:val="00460CCB"/>
    <w:rsid w:val="00477370"/>
    <w:rsid w:val="00486107"/>
    <w:rsid w:val="00491827"/>
    <w:rsid w:val="004926B0"/>
    <w:rsid w:val="004A0F75"/>
    <w:rsid w:val="004A1F2B"/>
    <w:rsid w:val="004A7C69"/>
    <w:rsid w:val="004C4399"/>
    <w:rsid w:val="004C69ED"/>
    <w:rsid w:val="004C787C"/>
    <w:rsid w:val="004E647F"/>
    <w:rsid w:val="004F4B9B"/>
    <w:rsid w:val="00501654"/>
    <w:rsid w:val="00511AB9"/>
    <w:rsid w:val="00512DD5"/>
    <w:rsid w:val="00523EA7"/>
    <w:rsid w:val="00542527"/>
    <w:rsid w:val="00551D1F"/>
    <w:rsid w:val="00553375"/>
    <w:rsid w:val="005644EF"/>
    <w:rsid w:val="005658A6"/>
    <w:rsid w:val="005720E7"/>
    <w:rsid w:val="005722BB"/>
    <w:rsid w:val="005736B7"/>
    <w:rsid w:val="00575E5A"/>
    <w:rsid w:val="00584E2A"/>
    <w:rsid w:val="00596C7E"/>
    <w:rsid w:val="005A5F24"/>
    <w:rsid w:val="005A64E9"/>
    <w:rsid w:val="005B5EE9"/>
    <w:rsid w:val="005C663F"/>
    <w:rsid w:val="006104F6"/>
    <w:rsid w:val="0061068E"/>
    <w:rsid w:val="00630DC6"/>
    <w:rsid w:val="00660AD3"/>
    <w:rsid w:val="00664163"/>
    <w:rsid w:val="006A5570"/>
    <w:rsid w:val="006A689C"/>
    <w:rsid w:val="006B3D79"/>
    <w:rsid w:val="006B7D49"/>
    <w:rsid w:val="006E0578"/>
    <w:rsid w:val="006E314D"/>
    <w:rsid w:val="006E7F06"/>
    <w:rsid w:val="00710723"/>
    <w:rsid w:val="00712ED1"/>
    <w:rsid w:val="00723ED1"/>
    <w:rsid w:val="00735ED4"/>
    <w:rsid w:val="00743525"/>
    <w:rsid w:val="007531A0"/>
    <w:rsid w:val="00753DC9"/>
    <w:rsid w:val="0076286B"/>
    <w:rsid w:val="00764595"/>
    <w:rsid w:val="007664A8"/>
    <w:rsid w:val="00766846"/>
    <w:rsid w:val="0077673A"/>
    <w:rsid w:val="007846E1"/>
    <w:rsid w:val="007A0EFE"/>
    <w:rsid w:val="007A53B5"/>
    <w:rsid w:val="007B570C"/>
    <w:rsid w:val="007E4A6E"/>
    <w:rsid w:val="007F56A7"/>
    <w:rsid w:val="007F626E"/>
    <w:rsid w:val="00807DD0"/>
    <w:rsid w:val="00813F11"/>
    <w:rsid w:val="008421A8"/>
    <w:rsid w:val="00842C9B"/>
    <w:rsid w:val="00853AEB"/>
    <w:rsid w:val="008841FB"/>
    <w:rsid w:val="0088472C"/>
    <w:rsid w:val="00891334"/>
    <w:rsid w:val="008A3568"/>
    <w:rsid w:val="008D03B9"/>
    <w:rsid w:val="008F18D6"/>
    <w:rsid w:val="008F2E0D"/>
    <w:rsid w:val="00904780"/>
    <w:rsid w:val="009113A8"/>
    <w:rsid w:val="00922385"/>
    <w:rsid w:val="009223DF"/>
    <w:rsid w:val="00925237"/>
    <w:rsid w:val="00934DC3"/>
    <w:rsid w:val="00936091"/>
    <w:rsid w:val="00940D8A"/>
    <w:rsid w:val="0095327E"/>
    <w:rsid w:val="00962258"/>
    <w:rsid w:val="009678B7"/>
    <w:rsid w:val="00982411"/>
    <w:rsid w:val="00992D9C"/>
    <w:rsid w:val="00996CB8"/>
    <w:rsid w:val="009A46FD"/>
    <w:rsid w:val="009A7568"/>
    <w:rsid w:val="009B2E97"/>
    <w:rsid w:val="009B3C69"/>
    <w:rsid w:val="009B72CC"/>
    <w:rsid w:val="009C7B39"/>
    <w:rsid w:val="009D11A8"/>
    <w:rsid w:val="009E07F4"/>
    <w:rsid w:val="009F392E"/>
    <w:rsid w:val="00A44328"/>
    <w:rsid w:val="00A509D7"/>
    <w:rsid w:val="00A6177B"/>
    <w:rsid w:val="00A66136"/>
    <w:rsid w:val="00A72D3B"/>
    <w:rsid w:val="00A943B5"/>
    <w:rsid w:val="00AA4CBB"/>
    <w:rsid w:val="00AA65FA"/>
    <w:rsid w:val="00AA7351"/>
    <w:rsid w:val="00AC56A4"/>
    <w:rsid w:val="00AD056F"/>
    <w:rsid w:val="00AD2773"/>
    <w:rsid w:val="00AD6731"/>
    <w:rsid w:val="00AE1DDE"/>
    <w:rsid w:val="00B15B5E"/>
    <w:rsid w:val="00B15D0D"/>
    <w:rsid w:val="00B23CA3"/>
    <w:rsid w:val="00B3491A"/>
    <w:rsid w:val="00B41050"/>
    <w:rsid w:val="00B4264E"/>
    <w:rsid w:val="00B45E9E"/>
    <w:rsid w:val="00B55F9C"/>
    <w:rsid w:val="00B75EE1"/>
    <w:rsid w:val="00B77481"/>
    <w:rsid w:val="00B84609"/>
    <w:rsid w:val="00B8518B"/>
    <w:rsid w:val="00BB3740"/>
    <w:rsid w:val="00BD5319"/>
    <w:rsid w:val="00BD7E91"/>
    <w:rsid w:val="00BE37CA"/>
    <w:rsid w:val="00BF374D"/>
    <w:rsid w:val="00BF6D48"/>
    <w:rsid w:val="00C02D0A"/>
    <w:rsid w:val="00C03A6E"/>
    <w:rsid w:val="00C30759"/>
    <w:rsid w:val="00C44F6A"/>
    <w:rsid w:val="00C53085"/>
    <w:rsid w:val="00C6581F"/>
    <w:rsid w:val="00C727E5"/>
    <w:rsid w:val="00C8207D"/>
    <w:rsid w:val="00CB5457"/>
    <w:rsid w:val="00CB7B5A"/>
    <w:rsid w:val="00CC1E2B"/>
    <w:rsid w:val="00CC7345"/>
    <w:rsid w:val="00CD1FC4"/>
    <w:rsid w:val="00CE371D"/>
    <w:rsid w:val="00D02A4D"/>
    <w:rsid w:val="00D21061"/>
    <w:rsid w:val="00D316A7"/>
    <w:rsid w:val="00D4108E"/>
    <w:rsid w:val="00D548C8"/>
    <w:rsid w:val="00D6163D"/>
    <w:rsid w:val="00D63009"/>
    <w:rsid w:val="00D831A3"/>
    <w:rsid w:val="00D902AD"/>
    <w:rsid w:val="00DA5DD4"/>
    <w:rsid w:val="00DA6FFE"/>
    <w:rsid w:val="00DC3110"/>
    <w:rsid w:val="00DD46F3"/>
    <w:rsid w:val="00DD58A6"/>
    <w:rsid w:val="00DE56F2"/>
    <w:rsid w:val="00DF116D"/>
    <w:rsid w:val="00E10710"/>
    <w:rsid w:val="00E46DE0"/>
    <w:rsid w:val="00E824F1"/>
    <w:rsid w:val="00E9347D"/>
    <w:rsid w:val="00EB104F"/>
    <w:rsid w:val="00ED14BD"/>
    <w:rsid w:val="00EE43BF"/>
    <w:rsid w:val="00EF0273"/>
    <w:rsid w:val="00F01440"/>
    <w:rsid w:val="00F12DEC"/>
    <w:rsid w:val="00F1715C"/>
    <w:rsid w:val="00F26021"/>
    <w:rsid w:val="00F310F8"/>
    <w:rsid w:val="00F328DE"/>
    <w:rsid w:val="00F35939"/>
    <w:rsid w:val="00F45607"/>
    <w:rsid w:val="00F64786"/>
    <w:rsid w:val="00F659EB"/>
    <w:rsid w:val="00F804A7"/>
    <w:rsid w:val="00F8318E"/>
    <w:rsid w:val="00F862D6"/>
    <w:rsid w:val="00F86BA6"/>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E43BF"/>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paragraph" w:styleId="Pedmtkomente">
    <w:name w:val="annotation subject"/>
    <w:basedOn w:val="Textkomente"/>
    <w:next w:val="Textkomente"/>
    <w:link w:val="PedmtkomenteChar"/>
    <w:uiPriority w:val="99"/>
    <w:semiHidden/>
    <w:unhideWhenUsed/>
    <w:rsid w:val="008F2E0D"/>
    <w:rPr>
      <w:b/>
      <w:bCs/>
    </w:rPr>
  </w:style>
  <w:style w:type="character" w:customStyle="1" w:styleId="PedmtkomenteChar">
    <w:name w:val="Předmět komentáře Char"/>
    <w:basedOn w:val="TextkomenteChar"/>
    <w:link w:val="Pedmtkomente"/>
    <w:uiPriority w:val="99"/>
    <w:semiHidden/>
    <w:rsid w:val="008F2E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vz.nipez.cz/"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78DD3C5-894B-478A-8B11-1B221C03E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23</TotalTime>
  <Pages>4</Pages>
  <Words>1091</Words>
  <Characters>6441</Characters>
  <Application>Microsoft Office Word</Application>
  <DocSecurity>0</DocSecurity>
  <Lines>53</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6</cp:revision>
  <cp:lastPrinted>2019-02-22T13:28:00Z</cp:lastPrinted>
  <dcterms:created xsi:type="dcterms:W3CDTF">2025-01-10T08:52:00Z</dcterms:created>
  <dcterms:modified xsi:type="dcterms:W3CDTF">2025-01-10T09:53:00Z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